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895B" w14:textId="329CE852" w:rsidR="00C0442F" w:rsidRDefault="00133782" w:rsidP="006361D2">
      <w:pPr>
        <w:pStyle w:val="Title"/>
        <w:tabs>
          <w:tab w:val="left" w:pos="3343"/>
          <w:tab w:val="center" w:pos="4680"/>
          <w:tab w:val="center" w:pos="5040"/>
        </w:tabs>
        <w:spacing w:after="0"/>
        <w:ind w:firstLine="0"/>
        <w:jc w:val="left"/>
      </w:pPr>
      <w:r>
        <w:tab/>
      </w:r>
      <w:r>
        <w:tab/>
      </w:r>
      <w:r w:rsidR="000D6C88">
        <w:t>PROJECT NO. 54335</w:t>
      </w:r>
      <w:r w:rsidR="0049499A">
        <w:br/>
      </w:r>
    </w:p>
    <w:p w14:paraId="05959E56" w14:textId="34DA998B" w:rsidR="00AA53F6" w:rsidRDefault="00037CFA" w:rsidP="00AC44C2">
      <w:pPr>
        <w:spacing w:after="0" w:line="240" w:lineRule="auto"/>
        <w:ind w:firstLine="0"/>
        <w:rPr>
          <w:b/>
          <w:bCs/>
        </w:rPr>
      </w:pPr>
      <w:r w:rsidRPr="006F2512">
        <w:rPr>
          <w:b/>
          <w:bCs/>
        </w:rPr>
        <w:t xml:space="preserve">REVIEW OF MARKET REFORM </w:t>
      </w:r>
      <w:r w:rsidRPr="006F2512">
        <w:rPr>
          <w:b/>
          <w:bCs/>
        </w:rPr>
        <w:tab/>
      </w:r>
      <w:r w:rsidRPr="006F2512">
        <w:rPr>
          <w:b/>
          <w:bCs/>
        </w:rPr>
        <w:tab/>
        <w:t>§</w:t>
      </w:r>
      <w:r w:rsidR="008217A3">
        <w:rPr>
          <w:b/>
          <w:bCs/>
        </w:rPr>
        <w:t xml:space="preserve">        </w:t>
      </w:r>
      <w:r w:rsidR="007D2251" w:rsidRPr="006F2512">
        <w:rPr>
          <w:b/>
          <w:bCs/>
        </w:rPr>
        <w:t>PUBLIC UTILITY COMMISSION</w:t>
      </w:r>
    </w:p>
    <w:p w14:paraId="47EFBC7F" w14:textId="3A5112D9" w:rsidR="00037CFA" w:rsidRPr="006F2512" w:rsidRDefault="00037CFA" w:rsidP="006F2512">
      <w:pPr>
        <w:spacing w:after="0" w:line="240" w:lineRule="auto"/>
        <w:ind w:firstLine="0"/>
        <w:rPr>
          <w:b/>
          <w:bCs/>
        </w:rPr>
      </w:pPr>
      <w:r w:rsidRPr="006F2512">
        <w:rPr>
          <w:b/>
          <w:bCs/>
        </w:rPr>
        <w:t xml:space="preserve">ASSESSMENT PRODUCED BY </w:t>
      </w:r>
      <w:r w:rsidR="007D2251" w:rsidRPr="006F2512">
        <w:rPr>
          <w:b/>
          <w:bCs/>
        </w:rPr>
        <w:tab/>
      </w:r>
      <w:r w:rsidR="007D2251" w:rsidRPr="006F2512">
        <w:rPr>
          <w:b/>
          <w:bCs/>
        </w:rPr>
        <w:tab/>
      </w:r>
      <w:r w:rsidR="007D2251" w:rsidRPr="006F2512">
        <w:rPr>
          <w:b/>
          <w:bCs/>
        </w:rPr>
        <w:tab/>
      </w:r>
      <w:r w:rsidRPr="006F2512">
        <w:rPr>
          <w:b/>
          <w:bCs/>
        </w:rPr>
        <w:t>§</w:t>
      </w:r>
      <w:r w:rsidR="007D2251" w:rsidRPr="006F2512">
        <w:rPr>
          <w:b/>
          <w:bCs/>
        </w:rPr>
        <w:tab/>
      </w:r>
      <w:r w:rsidR="007D2251" w:rsidRPr="006F2512">
        <w:rPr>
          <w:b/>
          <w:bCs/>
        </w:rPr>
        <w:tab/>
      </w:r>
      <w:r w:rsidR="008217A3">
        <w:rPr>
          <w:b/>
          <w:bCs/>
        </w:rPr>
        <w:t xml:space="preserve">       </w:t>
      </w:r>
      <w:r w:rsidR="007D2251" w:rsidRPr="006F2512">
        <w:rPr>
          <w:b/>
          <w:bCs/>
        </w:rPr>
        <w:t>OF TEXAS</w:t>
      </w:r>
    </w:p>
    <w:p w14:paraId="531F2BBA" w14:textId="2BF1662B" w:rsidR="00037CFA" w:rsidRPr="006F2512" w:rsidRDefault="00037CFA" w:rsidP="006F2512">
      <w:pPr>
        <w:spacing w:after="0" w:line="240" w:lineRule="auto"/>
        <w:ind w:firstLine="0"/>
        <w:rPr>
          <w:b/>
          <w:bCs/>
        </w:rPr>
      </w:pPr>
      <w:r w:rsidRPr="006F2512">
        <w:rPr>
          <w:b/>
          <w:bCs/>
        </w:rPr>
        <w:t xml:space="preserve">ENERGY AND ENVIRONMENTAL </w:t>
      </w:r>
      <w:r w:rsidR="00BB2616" w:rsidRPr="006F2512">
        <w:rPr>
          <w:b/>
          <w:bCs/>
        </w:rPr>
        <w:tab/>
      </w:r>
      <w:r w:rsidR="00BB2616" w:rsidRPr="006F2512">
        <w:rPr>
          <w:b/>
          <w:bCs/>
        </w:rPr>
        <w:tab/>
      </w:r>
      <w:r w:rsidRPr="006F2512">
        <w:rPr>
          <w:b/>
          <w:bCs/>
        </w:rPr>
        <w:t>§</w:t>
      </w:r>
    </w:p>
    <w:p w14:paraId="6DDD655F" w14:textId="3C561EE0" w:rsidR="00037CFA" w:rsidRPr="006F2512" w:rsidRDefault="00037CFA" w:rsidP="006F2512">
      <w:pPr>
        <w:spacing w:after="0" w:line="240" w:lineRule="auto"/>
        <w:ind w:firstLine="0"/>
        <w:rPr>
          <w:b/>
          <w:bCs/>
        </w:rPr>
      </w:pPr>
      <w:r w:rsidRPr="006F2512">
        <w:rPr>
          <w:b/>
          <w:bCs/>
        </w:rPr>
        <w:t xml:space="preserve">ECONOMICS, INC. (E3) </w:t>
      </w:r>
      <w:r w:rsidR="00BB2616" w:rsidRPr="006F2512">
        <w:rPr>
          <w:b/>
          <w:bCs/>
        </w:rPr>
        <w:tab/>
      </w:r>
      <w:r w:rsidR="00BB2616" w:rsidRPr="006F2512">
        <w:rPr>
          <w:b/>
          <w:bCs/>
        </w:rPr>
        <w:tab/>
      </w:r>
      <w:r w:rsidR="00BB2616" w:rsidRPr="006F2512">
        <w:rPr>
          <w:b/>
          <w:bCs/>
        </w:rPr>
        <w:tab/>
      </w:r>
      <w:r w:rsidR="00BB2616" w:rsidRPr="006F2512">
        <w:rPr>
          <w:b/>
          <w:bCs/>
        </w:rPr>
        <w:tab/>
      </w:r>
      <w:r w:rsidRPr="006F2512">
        <w:rPr>
          <w:b/>
          <w:bCs/>
        </w:rPr>
        <w:t>§</w:t>
      </w:r>
    </w:p>
    <w:p w14:paraId="7FA073A7" w14:textId="7DEC09C2" w:rsidR="00C42A3B" w:rsidRDefault="00C42A3B" w:rsidP="006F2512">
      <w:pPr>
        <w:spacing w:after="0" w:line="240" w:lineRule="auto"/>
        <w:ind w:firstLine="0"/>
      </w:pPr>
    </w:p>
    <w:p w14:paraId="4DC95909" w14:textId="5DA20898" w:rsidR="000156B3" w:rsidRPr="00C66A2D" w:rsidRDefault="00CD7C0C" w:rsidP="00CD7C0C">
      <w:pPr>
        <w:spacing w:after="0" w:line="240" w:lineRule="auto"/>
        <w:ind w:firstLine="0"/>
        <w:rPr>
          <w:b/>
          <w:bCs/>
        </w:rPr>
      </w:pPr>
      <w:r w:rsidRPr="00C66A2D">
        <w:rPr>
          <w:b/>
          <w:bCs/>
        </w:rPr>
        <w:t>December 15, 2022</w:t>
      </w:r>
      <w:r w:rsidRPr="00C66A2D">
        <w:rPr>
          <w:b/>
          <w:bCs/>
        </w:rPr>
        <w:br/>
      </w:r>
    </w:p>
    <w:p w14:paraId="3CD34C77" w14:textId="77777777" w:rsidR="000156B3" w:rsidRDefault="000156B3" w:rsidP="00A27F78">
      <w:pPr>
        <w:spacing w:after="0" w:line="240" w:lineRule="auto"/>
        <w:jc w:val="center"/>
        <w:rPr>
          <w:b/>
        </w:rPr>
      </w:pPr>
      <w:r w:rsidRPr="005F441F">
        <w:rPr>
          <w:b/>
        </w:rPr>
        <w:t>COMMENTS OF THE INSTITUTE FOR POLICY INTEGRITY</w:t>
      </w:r>
      <w:r>
        <w:rPr>
          <w:b/>
        </w:rPr>
        <w:t xml:space="preserve"> </w:t>
      </w:r>
    </w:p>
    <w:p w14:paraId="2CAECE9A" w14:textId="2736E8CA" w:rsidR="005F441F" w:rsidRPr="005F441F" w:rsidRDefault="000156B3" w:rsidP="00407EBA">
      <w:pPr>
        <w:spacing w:after="0" w:line="240" w:lineRule="auto"/>
        <w:jc w:val="center"/>
        <w:rPr>
          <w:b/>
        </w:rPr>
      </w:pPr>
      <w:r>
        <w:rPr>
          <w:b/>
        </w:rPr>
        <w:t>AT NEW YORK UNIVERSITY SCHOOL OF LAW</w:t>
      </w:r>
    </w:p>
    <w:p w14:paraId="45A49FB4" w14:textId="77777777" w:rsidR="000156B3" w:rsidRDefault="000156B3" w:rsidP="00407EBA">
      <w:pPr>
        <w:spacing w:after="0" w:line="240" w:lineRule="auto"/>
        <w:jc w:val="center"/>
      </w:pPr>
    </w:p>
    <w:p w14:paraId="3376AAA6" w14:textId="40698C61" w:rsidR="000156B3" w:rsidRDefault="000156B3" w:rsidP="000156B3">
      <w:pPr>
        <w:spacing w:after="0"/>
      </w:pPr>
      <w:r w:rsidRPr="00D813FE">
        <w:t>The Institute for Policy Integrity at New York University School of Law (Policy Integrity)</w:t>
      </w:r>
      <w:r>
        <w:t xml:space="preserve"> </w:t>
      </w:r>
      <w:r w:rsidRPr="00D813FE">
        <w:t>respectfully submit</w:t>
      </w:r>
      <w:r>
        <w:t>s</w:t>
      </w:r>
      <w:r w:rsidRPr="00D813FE">
        <w:t xml:space="preserve"> the following</w:t>
      </w:r>
      <w:r>
        <w:t xml:space="preserve"> </w:t>
      </w:r>
      <w:r w:rsidRPr="00D813FE">
        <w:t xml:space="preserve">comments </w:t>
      </w:r>
      <w:r>
        <w:t xml:space="preserve">in response to the Public Utility Commission of Texas’s (PUCT) request for comments on </w:t>
      </w:r>
      <w:r w:rsidRPr="00013DCB">
        <w:t xml:space="preserve">E3’s </w:t>
      </w:r>
      <w:r w:rsidRPr="00013DCB">
        <w:rPr>
          <w:i/>
          <w:iCs/>
        </w:rPr>
        <w:t>Assessment of Market Reform Options to Enhance Reliability of the ERCOT System</w:t>
      </w:r>
      <w:r w:rsidRPr="00013DCB">
        <w:t xml:space="preserve"> </w:t>
      </w:r>
      <w:r>
        <w:t xml:space="preserve">(the E3 Report). </w:t>
      </w:r>
      <w:r w:rsidRPr="00D813FE">
        <w:t>Policy Integrity is a non-partisan think tank dedicated to improving the quality of government decisionmaking through advocacy and scholarship in the fields of administrative law, economics, and public policy.</w:t>
      </w:r>
      <w:r>
        <w:rPr>
          <w:rStyle w:val="FootnoteReference"/>
        </w:rPr>
        <w:footnoteReference w:id="2"/>
      </w:r>
      <w:r>
        <w:t xml:space="preserve"> Policy Integrity’s past work on electricity policy includes academic papers and policy reports on optimal wholesale market design and resilience threats to the grid.</w:t>
      </w:r>
      <w:bookmarkStart w:id="0" w:name="_Ref121983489"/>
      <w:r>
        <w:rPr>
          <w:rStyle w:val="FootnoteReference"/>
        </w:rPr>
        <w:footnoteReference w:id="3"/>
      </w:r>
      <w:bookmarkEnd w:id="0"/>
    </w:p>
    <w:p w14:paraId="660E877B" w14:textId="77777777" w:rsidR="000156B3" w:rsidRDefault="000156B3" w:rsidP="006F2512">
      <w:pPr>
        <w:spacing w:after="0" w:line="240" w:lineRule="auto"/>
        <w:ind w:firstLine="0"/>
      </w:pPr>
    </w:p>
    <w:p w14:paraId="1B94DD3E" w14:textId="77777777" w:rsidR="00FF7B2B" w:rsidRDefault="00FF7B2B">
      <w:pPr>
        <w:spacing w:after="0" w:line="276" w:lineRule="auto"/>
        <w:ind w:firstLine="0"/>
        <w:contextualSpacing w:val="0"/>
        <w:rPr>
          <w:b/>
          <w:u w:val="single"/>
        </w:rPr>
      </w:pPr>
      <w:r>
        <w:rPr>
          <w:b/>
          <w:u w:val="single"/>
        </w:rPr>
        <w:br w:type="page"/>
      </w:r>
    </w:p>
    <w:p w14:paraId="7CA47B3D" w14:textId="5B5B359F" w:rsidR="0080262F" w:rsidRPr="000B1123" w:rsidRDefault="0080262F" w:rsidP="000B1123">
      <w:pPr>
        <w:spacing w:after="0" w:line="240" w:lineRule="auto"/>
        <w:ind w:firstLine="0"/>
        <w:jc w:val="center"/>
        <w:rPr>
          <w:b/>
          <w:u w:val="single"/>
        </w:rPr>
      </w:pPr>
      <w:r w:rsidRPr="000B1123">
        <w:rPr>
          <w:b/>
          <w:u w:val="single"/>
        </w:rPr>
        <w:lastRenderedPageBreak/>
        <w:t>Table of Contents</w:t>
      </w:r>
    </w:p>
    <w:p w14:paraId="17882818" w14:textId="5B5B359F" w:rsidR="0080262F" w:rsidRPr="000B1123" w:rsidRDefault="0080262F" w:rsidP="0080262F">
      <w:pPr>
        <w:spacing w:after="0" w:line="240" w:lineRule="auto"/>
        <w:ind w:firstLine="0"/>
      </w:pPr>
    </w:p>
    <w:p w14:paraId="010336E4" w14:textId="01B4FA8C" w:rsidR="0080262F" w:rsidRPr="000B1123" w:rsidRDefault="0080262F" w:rsidP="0080262F">
      <w:pPr>
        <w:spacing w:after="0" w:line="240" w:lineRule="auto"/>
        <w:ind w:firstLine="0"/>
      </w:pPr>
      <w:r w:rsidRPr="000B1123">
        <w:t>I. Introduction ……………………………………………………………………………….……</w:t>
      </w:r>
      <w:r w:rsidR="00683E52">
        <w:t>2</w:t>
      </w:r>
    </w:p>
    <w:p w14:paraId="062178B4" w14:textId="076DD5C8" w:rsidR="0051150C" w:rsidRDefault="0080262F" w:rsidP="006F2512">
      <w:pPr>
        <w:spacing w:after="0" w:line="240" w:lineRule="auto"/>
        <w:ind w:firstLine="0"/>
      </w:pPr>
      <w:r w:rsidRPr="000B1123">
        <w:t xml:space="preserve">II. </w:t>
      </w:r>
      <w:r w:rsidRPr="0080262F">
        <w:t>It Is Unclear Whether a Second Reliability Mechanism Is Necessary</w:t>
      </w:r>
      <w:r w:rsidRPr="00CF1AA8" w:rsidDel="0080262F">
        <w:t xml:space="preserve"> </w:t>
      </w:r>
      <w:r w:rsidRPr="00CF1AA8">
        <w:t>………………………...</w:t>
      </w:r>
      <w:r w:rsidR="00756B10">
        <w:t>4</w:t>
      </w:r>
    </w:p>
    <w:p w14:paraId="162C668A" w14:textId="72D91C58" w:rsidR="0080262F" w:rsidRDefault="0080262F" w:rsidP="006F2512">
      <w:pPr>
        <w:spacing w:after="0" w:line="240" w:lineRule="auto"/>
        <w:ind w:firstLine="0"/>
      </w:pPr>
      <w:r>
        <w:tab/>
      </w:r>
      <w:r w:rsidR="009044A5">
        <w:t>A</w:t>
      </w:r>
      <w:r>
        <w:t xml:space="preserve">. </w:t>
      </w:r>
      <w:r w:rsidRPr="0080262F">
        <w:t>The Role of Markets in Achieving Reliability</w:t>
      </w:r>
      <w:r>
        <w:t xml:space="preserve"> ………………………………</w:t>
      </w:r>
      <w:r w:rsidR="009044A5">
        <w:t>...</w:t>
      </w:r>
      <w:r>
        <w:t>………</w:t>
      </w:r>
      <w:r w:rsidR="00C15634">
        <w:t>5</w:t>
      </w:r>
    </w:p>
    <w:p w14:paraId="36101504" w14:textId="2F9DA3F5" w:rsidR="0080262F" w:rsidRDefault="0080262F" w:rsidP="006F2512">
      <w:pPr>
        <w:spacing w:after="0" w:line="240" w:lineRule="auto"/>
        <w:ind w:firstLine="0"/>
      </w:pPr>
      <w:r>
        <w:tab/>
      </w:r>
      <w:r w:rsidR="009044A5">
        <w:t>B</w:t>
      </w:r>
      <w:r>
        <w:t xml:space="preserve">. </w:t>
      </w:r>
      <w:r w:rsidRPr="006455C0">
        <w:t>Whether</w:t>
      </w:r>
      <w:r w:rsidRPr="00FB20BD">
        <w:t xml:space="preserve"> </w:t>
      </w:r>
      <w:r>
        <w:t xml:space="preserve">ERCOT Needs a New </w:t>
      </w:r>
      <w:r w:rsidRPr="00FB20BD">
        <w:t>Reliability</w:t>
      </w:r>
      <w:r>
        <w:t xml:space="preserve"> Mechanism ………………</w:t>
      </w:r>
      <w:r w:rsidR="009044A5">
        <w:t>...</w:t>
      </w:r>
      <w:r>
        <w:t>…………….</w:t>
      </w:r>
      <w:r w:rsidR="00C15634">
        <w:t>7</w:t>
      </w:r>
    </w:p>
    <w:p w14:paraId="730A27A0" w14:textId="6E63ACF8" w:rsidR="0080262F" w:rsidRDefault="0080262F" w:rsidP="006F2512">
      <w:pPr>
        <w:spacing w:after="0" w:line="240" w:lineRule="auto"/>
        <w:ind w:firstLine="0"/>
      </w:pPr>
      <w:r>
        <w:t xml:space="preserve">III. </w:t>
      </w:r>
      <w:r w:rsidRPr="0080262F">
        <w:t>Any New Reliability Mechanism Should Reflect Fundamental Economic Principles</w:t>
      </w:r>
      <w:r>
        <w:t xml:space="preserve"> ……</w:t>
      </w:r>
      <w:r w:rsidR="00063D9C">
        <w:t>...</w:t>
      </w:r>
      <w:r w:rsidR="00C15634">
        <w:t>10</w:t>
      </w:r>
    </w:p>
    <w:p w14:paraId="3070BE27" w14:textId="39EC4E23" w:rsidR="009044A5" w:rsidRDefault="009044A5" w:rsidP="000B1123">
      <w:pPr>
        <w:pStyle w:val="ListParagraph"/>
        <w:numPr>
          <w:ilvl w:val="0"/>
          <w:numId w:val="43"/>
        </w:numPr>
        <w:spacing w:after="0" w:line="240" w:lineRule="auto"/>
      </w:pPr>
      <w:r w:rsidRPr="009044A5">
        <w:t>A Reliability Mechanism Should Compensate All Resources According to Their Reliability Value</w:t>
      </w:r>
      <w:r>
        <w:t xml:space="preserve"> …………………………………………………………………...</w:t>
      </w:r>
      <w:r w:rsidR="00C21D0E">
        <w:t>..11</w:t>
      </w:r>
    </w:p>
    <w:p w14:paraId="4DB403CC" w14:textId="7A60E004" w:rsidR="0080262F" w:rsidRDefault="009F316E" w:rsidP="000B1123">
      <w:pPr>
        <w:pStyle w:val="ListParagraph"/>
        <w:numPr>
          <w:ilvl w:val="0"/>
          <w:numId w:val="44"/>
        </w:numPr>
        <w:spacing w:after="0" w:line="240" w:lineRule="auto"/>
      </w:pPr>
      <w:r w:rsidRPr="009F316E">
        <w:t>Both Dispatchable and Non-Dispatchable Technologies Contribute to Reliability and Should Be Compensated Accordingl</w:t>
      </w:r>
      <w:r>
        <w:t>y …………………</w:t>
      </w:r>
      <w:r w:rsidR="003B7C62">
        <w:t>...</w:t>
      </w:r>
      <w:r>
        <w:t>…11</w:t>
      </w:r>
    </w:p>
    <w:p w14:paraId="01EC9024" w14:textId="77777777" w:rsidR="005D1AAB" w:rsidRDefault="005D1AAB" w:rsidP="000B1123">
      <w:pPr>
        <w:pStyle w:val="ListParagraph"/>
        <w:numPr>
          <w:ilvl w:val="0"/>
          <w:numId w:val="44"/>
        </w:numPr>
        <w:spacing w:after="0" w:line="240" w:lineRule="auto"/>
      </w:pPr>
      <w:r w:rsidRPr="005D1AAB">
        <w:t xml:space="preserve">The PUCT Should Ensure that Non-Dispatchable Resources Are Eligible </w:t>
      </w:r>
    </w:p>
    <w:p w14:paraId="3CDE1878" w14:textId="3F984F76" w:rsidR="003B7C62" w:rsidRDefault="005D1AAB" w:rsidP="000B1123">
      <w:pPr>
        <w:pStyle w:val="ListParagraph"/>
        <w:spacing w:after="0" w:line="240" w:lineRule="auto"/>
        <w:ind w:left="1800" w:firstLine="0"/>
      </w:pPr>
      <w:r w:rsidRPr="005D1AAB">
        <w:t>for Payments Under Any New Reliability Mechanism</w:t>
      </w:r>
      <w:r>
        <w:t xml:space="preserve"> ……………………..1</w:t>
      </w:r>
      <w:r w:rsidR="00C21D0E">
        <w:t>3</w:t>
      </w:r>
    </w:p>
    <w:p w14:paraId="07D57DCA" w14:textId="60979B76" w:rsidR="00E9193E" w:rsidRDefault="0099130D" w:rsidP="00AE2271">
      <w:pPr>
        <w:pStyle w:val="ListParagraph"/>
        <w:numPr>
          <w:ilvl w:val="0"/>
          <w:numId w:val="44"/>
        </w:numPr>
        <w:spacing w:after="0" w:line="240" w:lineRule="auto"/>
      </w:pPr>
      <w:r w:rsidRPr="0099130D">
        <w:t xml:space="preserve">The PUCT Should Facilitate Technology Neutrality </w:t>
      </w:r>
      <w:r w:rsidR="00C21D0E">
        <w:t>I</w:t>
      </w:r>
      <w:r w:rsidRPr="0099130D">
        <w:t>f a Reliability Mechanism Is Adopted</w:t>
      </w:r>
      <w:r>
        <w:t xml:space="preserve"> …………</w:t>
      </w:r>
      <w:r w:rsidR="00AE2271">
        <w:t>…………..</w:t>
      </w:r>
      <w:r>
        <w:t>……………………………….1</w:t>
      </w:r>
      <w:r w:rsidR="00C21D0E">
        <w:t>4</w:t>
      </w:r>
    </w:p>
    <w:p w14:paraId="5B6151AF" w14:textId="3B747F68" w:rsidR="00133E5E" w:rsidRDefault="00133E5E" w:rsidP="000B1123">
      <w:pPr>
        <w:pStyle w:val="ListParagraph"/>
        <w:numPr>
          <w:ilvl w:val="0"/>
          <w:numId w:val="43"/>
        </w:numPr>
        <w:spacing w:after="0" w:line="240" w:lineRule="auto"/>
      </w:pPr>
      <w:r w:rsidRPr="003051D7">
        <w:t>Penalties for Non-</w:t>
      </w:r>
      <w:r>
        <w:t>Performance</w:t>
      </w:r>
      <w:r w:rsidRPr="003051D7">
        <w:t xml:space="preserve"> Should Reflect </w:t>
      </w:r>
      <w:r w:rsidR="00000DDE">
        <w:t xml:space="preserve">the </w:t>
      </w:r>
      <w:r w:rsidRPr="003051D7">
        <w:t>Value of Lost Reliability</w:t>
      </w:r>
      <w:r>
        <w:t xml:space="preserve"> …</w:t>
      </w:r>
      <w:r w:rsidR="00000DDE">
        <w:t>..</w:t>
      </w:r>
      <w:r>
        <w:t>….1</w:t>
      </w:r>
      <w:r w:rsidR="00F41945">
        <w:t>6</w:t>
      </w:r>
    </w:p>
    <w:p w14:paraId="05C7FB04" w14:textId="77777777" w:rsidR="00F41945" w:rsidRDefault="00F41945" w:rsidP="00F41945">
      <w:pPr>
        <w:pStyle w:val="ListParagraph"/>
        <w:numPr>
          <w:ilvl w:val="0"/>
          <w:numId w:val="46"/>
        </w:numPr>
        <w:spacing w:after="0" w:line="240" w:lineRule="auto"/>
      </w:pPr>
      <w:r w:rsidRPr="00B20B17">
        <w:t xml:space="preserve">Efficient Penalties Under a Reliability Mechanism Should Reflect the </w:t>
      </w:r>
    </w:p>
    <w:p w14:paraId="04D97992" w14:textId="0375B12C" w:rsidR="00133E5E" w:rsidRDefault="00F41945" w:rsidP="00F41945">
      <w:pPr>
        <w:pStyle w:val="ListParagraph"/>
        <w:spacing w:after="0" w:line="240" w:lineRule="auto"/>
        <w:ind w:left="1800" w:firstLine="0"/>
      </w:pPr>
      <w:r w:rsidRPr="00B20B17">
        <w:t>Value of the Missing Generation Capacity</w:t>
      </w:r>
      <w:r>
        <w:t xml:space="preserve"> </w:t>
      </w:r>
      <w:r w:rsidR="00133E5E">
        <w:t>…………</w:t>
      </w:r>
      <w:r w:rsidR="00F101FA">
        <w:t>……………………</w:t>
      </w:r>
      <w:r w:rsidR="00133E5E">
        <w:t>….16</w:t>
      </w:r>
    </w:p>
    <w:p w14:paraId="3510BF3A" w14:textId="7CBF8B25" w:rsidR="00F41945" w:rsidRDefault="00F41945" w:rsidP="00F41945">
      <w:pPr>
        <w:pStyle w:val="ListParagraph"/>
        <w:numPr>
          <w:ilvl w:val="0"/>
          <w:numId w:val="46"/>
        </w:numPr>
        <w:spacing w:after="0" w:line="240" w:lineRule="auto"/>
      </w:pPr>
      <w:r>
        <w:t>The PCM’s Proposed Penalty Structure Requires Clarification ……</w:t>
      </w:r>
      <w:r w:rsidR="00F101FA">
        <w:t>...</w:t>
      </w:r>
      <w:r>
        <w:t>……..17</w:t>
      </w:r>
    </w:p>
    <w:p w14:paraId="169733CB" w14:textId="18E1844E" w:rsidR="00B20B17" w:rsidRDefault="00B20B17" w:rsidP="00215603">
      <w:pPr>
        <w:pStyle w:val="ListParagraph"/>
        <w:numPr>
          <w:ilvl w:val="0"/>
          <w:numId w:val="43"/>
        </w:numPr>
        <w:spacing w:after="0" w:line="240" w:lineRule="auto"/>
      </w:pPr>
      <w:r w:rsidRPr="00B20B17">
        <w:t xml:space="preserve">The Reliability Mechanism Should Mitigate Uncertainty </w:t>
      </w:r>
      <w:r w:rsidR="00C80C5D">
        <w:t>…...</w:t>
      </w:r>
      <w:r>
        <w:t>………………...……1</w:t>
      </w:r>
      <w:r w:rsidR="00CB573C">
        <w:t>9</w:t>
      </w:r>
    </w:p>
    <w:p w14:paraId="5BFC5D95" w14:textId="2DD7D143" w:rsidR="00F37D6F" w:rsidRDefault="00F37D6F" w:rsidP="000B1123">
      <w:pPr>
        <w:pStyle w:val="ListParagraph"/>
        <w:numPr>
          <w:ilvl w:val="0"/>
          <w:numId w:val="47"/>
        </w:numPr>
        <w:spacing w:after="0" w:line="240" w:lineRule="auto"/>
      </w:pPr>
      <w:r w:rsidRPr="00F37D6F">
        <w:t>Uncertainty and Risk Lead to Greater Investment Costs</w:t>
      </w:r>
      <w:r>
        <w:t xml:space="preserve"> ……………………19 </w:t>
      </w:r>
    </w:p>
    <w:p w14:paraId="298954EB" w14:textId="1AF298FE" w:rsidR="00DC6A32" w:rsidRDefault="00DC6A32" w:rsidP="000B1123">
      <w:pPr>
        <w:pStyle w:val="ListParagraph"/>
        <w:numPr>
          <w:ilvl w:val="0"/>
          <w:numId w:val="47"/>
        </w:numPr>
        <w:spacing w:after="0" w:line="240" w:lineRule="auto"/>
      </w:pPr>
      <w:r>
        <w:t xml:space="preserve">The PCM </w:t>
      </w:r>
      <w:r w:rsidRPr="00DC6A32">
        <w:t xml:space="preserve">Introduces Significant Uncertainty and Would Increase Costs </w:t>
      </w:r>
    </w:p>
    <w:p w14:paraId="37F5FF4F" w14:textId="6FDB64D9" w:rsidR="00DC6A32" w:rsidRDefault="00DC6A32" w:rsidP="000B1123">
      <w:pPr>
        <w:pStyle w:val="ListParagraph"/>
        <w:spacing w:after="0" w:line="240" w:lineRule="auto"/>
        <w:ind w:left="1800" w:firstLine="0"/>
      </w:pPr>
      <w:r w:rsidRPr="00DC6A32">
        <w:t>to Consumers</w:t>
      </w:r>
      <w:r>
        <w:t xml:space="preserve"> ………………………………………………………………..20</w:t>
      </w:r>
    </w:p>
    <w:p w14:paraId="28E3705C" w14:textId="77777777" w:rsidR="00584BCC" w:rsidRDefault="00584BCC" w:rsidP="000B1123">
      <w:pPr>
        <w:pStyle w:val="ListParagraph"/>
        <w:numPr>
          <w:ilvl w:val="0"/>
          <w:numId w:val="43"/>
        </w:numPr>
        <w:spacing w:after="0" w:line="240" w:lineRule="auto"/>
      </w:pPr>
      <w:r>
        <w:t xml:space="preserve">The PUCT Should Address Potential </w:t>
      </w:r>
      <w:r w:rsidRPr="003051D7">
        <w:t>Market</w:t>
      </w:r>
      <w:r>
        <w:t>-</w:t>
      </w:r>
      <w:r w:rsidRPr="003051D7">
        <w:t>Power</w:t>
      </w:r>
      <w:r>
        <w:t xml:space="preserve"> Concerns Related to Any </w:t>
      </w:r>
    </w:p>
    <w:p w14:paraId="5786AA45" w14:textId="03A6A908" w:rsidR="00584BCC" w:rsidRDefault="00584BCC" w:rsidP="000B1123">
      <w:pPr>
        <w:pStyle w:val="ListParagraph"/>
        <w:spacing w:after="0" w:line="240" w:lineRule="auto"/>
        <w:ind w:left="1080" w:firstLine="0"/>
      </w:pPr>
      <w:r>
        <w:t>New Reliability Mechanism ……………………………………………………..….22</w:t>
      </w:r>
    </w:p>
    <w:p w14:paraId="0B9B6CCB" w14:textId="1C6CE8B6" w:rsidR="00405152" w:rsidRDefault="00405152" w:rsidP="00085E9C">
      <w:pPr>
        <w:spacing w:after="0" w:line="240" w:lineRule="auto"/>
        <w:ind w:firstLine="0"/>
      </w:pPr>
      <w:r>
        <w:t>Executive Summary ……………………………………………………………………………</w:t>
      </w:r>
      <w:r w:rsidR="00240753">
        <w:t>.</w:t>
      </w:r>
      <w:r>
        <w:t>.</w:t>
      </w:r>
      <w:r w:rsidR="00240753">
        <w:t>25</w:t>
      </w:r>
    </w:p>
    <w:p w14:paraId="731C81EF" w14:textId="77777777" w:rsidR="0080262F" w:rsidRDefault="0080262F" w:rsidP="006F2512">
      <w:pPr>
        <w:spacing w:after="0" w:line="240" w:lineRule="auto"/>
        <w:ind w:firstLine="0"/>
      </w:pPr>
    </w:p>
    <w:p w14:paraId="43BCB814" w14:textId="7DF76F90" w:rsidR="001C44A4" w:rsidRPr="001C44A4" w:rsidRDefault="008217A3" w:rsidP="00BD61D4">
      <w:pPr>
        <w:pStyle w:val="Heading1"/>
        <w:spacing w:after="0"/>
      </w:pPr>
      <w:r>
        <w:t>Introduction</w:t>
      </w:r>
      <w:r w:rsidR="003D7CD9">
        <w:br/>
      </w:r>
    </w:p>
    <w:p w14:paraId="76DC1000" w14:textId="3B00BC00" w:rsidR="00013DCB" w:rsidRPr="00013DCB" w:rsidRDefault="00013DCB" w:rsidP="006F2512">
      <w:pPr>
        <w:spacing w:after="0"/>
      </w:pPr>
      <w:r w:rsidRPr="00013DCB">
        <w:t xml:space="preserve">After Winter Storm Uri, S.B. 3 charged the PUCT with ensuring that </w:t>
      </w:r>
      <w:r w:rsidR="00D2016A">
        <w:t xml:space="preserve">the </w:t>
      </w:r>
      <w:r w:rsidR="00D2016A" w:rsidRPr="00D2016A">
        <w:t>Electric Reliability Council of Texas</w:t>
      </w:r>
      <w:r w:rsidR="00E41D02">
        <w:t xml:space="preserve"> (ERCOT)</w:t>
      </w:r>
      <w:r w:rsidR="00D2016A" w:rsidRPr="00013DCB">
        <w:t xml:space="preserve"> </w:t>
      </w:r>
      <w:r w:rsidRPr="00013DCB">
        <w:t>“establishes requirements to meet the reliability needs of the power region</w:t>
      </w:r>
      <w:r w:rsidR="00A5474D">
        <w:t>.</w:t>
      </w:r>
      <w:r w:rsidRPr="00013DCB">
        <w:t>”</w:t>
      </w:r>
      <w:r w:rsidR="003F423D">
        <w:rPr>
          <w:rStyle w:val="FootnoteReference"/>
        </w:rPr>
        <w:footnoteReference w:id="4"/>
      </w:r>
      <w:r w:rsidR="00A5474D">
        <w:t xml:space="preserve"> In addition, </w:t>
      </w:r>
      <w:r w:rsidR="00B855DC">
        <w:t>S.B.</w:t>
      </w:r>
      <w:r w:rsidR="00EC2C76">
        <w:t xml:space="preserve"> </w:t>
      </w:r>
      <w:r w:rsidR="00B855DC">
        <w:t>3</w:t>
      </w:r>
      <w:r w:rsidR="00EC2C76">
        <w:t xml:space="preserve"> directed</w:t>
      </w:r>
      <w:r w:rsidR="00A5474D">
        <w:t xml:space="preserve"> PUCT to make sure </w:t>
      </w:r>
      <w:r w:rsidR="00576AF8">
        <w:t xml:space="preserve">that </w:t>
      </w:r>
      <w:r w:rsidR="00A5474D">
        <w:t xml:space="preserve">ERCOT </w:t>
      </w:r>
      <w:r w:rsidR="002968D6">
        <w:t>“</w:t>
      </w:r>
      <w:r w:rsidR="002968D6" w:rsidRPr="002968D6">
        <w:t>determines the quantity and characteristics of ancillary or reliability services necessary to ensure appropriate reliability</w:t>
      </w:r>
      <w:r w:rsidR="0040448A">
        <w:t xml:space="preserve"> </w:t>
      </w:r>
      <w:r w:rsidR="0040448A" w:rsidRPr="0040448A">
        <w:t>during extreme heat and extreme cold weather conditions and during times of low non-dispatchable power production in the power region</w:t>
      </w:r>
      <w:r w:rsidR="0040448A">
        <w:t xml:space="preserve">,” and </w:t>
      </w:r>
      <w:r w:rsidR="00B855DC">
        <w:t>“</w:t>
      </w:r>
      <w:r w:rsidRPr="00013DCB">
        <w:t>procure</w:t>
      </w:r>
      <w:r w:rsidR="00C82634">
        <w:t>s</w:t>
      </w:r>
      <w:r w:rsidR="00B855DC">
        <w:t xml:space="preserve"> </w:t>
      </w:r>
      <w:r w:rsidRPr="00013DCB">
        <w:t xml:space="preserve">ancillary or reliability </w:t>
      </w:r>
      <w:r w:rsidRPr="00013DCB">
        <w:lastRenderedPageBreak/>
        <w:t>services on a competitive basis to ensure appropriate reliability.”</w:t>
      </w:r>
      <w:r w:rsidRPr="00013DCB">
        <w:rPr>
          <w:rStyle w:val="FootnoteReference"/>
        </w:rPr>
        <w:footnoteReference w:id="5"/>
      </w:r>
      <w:r w:rsidRPr="00013DCB">
        <w:t xml:space="preserve"> </w:t>
      </w:r>
      <w:r w:rsidR="00474C5C">
        <w:t>The</w:t>
      </w:r>
      <w:r w:rsidR="0054695D">
        <w:t xml:space="preserve"> E3 Report </w:t>
      </w:r>
      <w:r w:rsidR="00BC6180">
        <w:t>assesses</w:t>
      </w:r>
      <w:r w:rsidR="004A1F30">
        <w:t xml:space="preserve"> </w:t>
      </w:r>
      <w:r w:rsidR="00DF4F01">
        <w:t xml:space="preserve">five </w:t>
      </w:r>
      <w:r w:rsidR="00402189">
        <w:t xml:space="preserve">market </w:t>
      </w:r>
      <w:r w:rsidR="00DA1075">
        <w:t xml:space="preserve">mechanisms intended to </w:t>
      </w:r>
      <w:r w:rsidR="00C24FE6">
        <w:t>satisfy these directives</w:t>
      </w:r>
      <w:r w:rsidRPr="00013DCB">
        <w:t>.</w:t>
      </w:r>
      <w:bookmarkStart w:id="1" w:name="_Ref121325512"/>
      <w:r w:rsidRPr="00013DCB">
        <w:rPr>
          <w:rStyle w:val="FootnoteReference"/>
        </w:rPr>
        <w:footnoteReference w:id="6"/>
      </w:r>
      <w:bookmarkEnd w:id="1"/>
      <w:r w:rsidRPr="00013DCB">
        <w:t xml:space="preserve"> The PUCT has invited comments on </w:t>
      </w:r>
      <w:r w:rsidR="009C6910">
        <w:t xml:space="preserve">the </w:t>
      </w:r>
      <w:r w:rsidRPr="00013DCB">
        <w:t xml:space="preserve">E3 </w:t>
      </w:r>
      <w:r w:rsidR="009C6910">
        <w:t>R</w:t>
      </w:r>
      <w:r w:rsidRPr="00013DCB">
        <w:t xml:space="preserve">eport, especially </w:t>
      </w:r>
      <w:r w:rsidR="00BA6CA0">
        <w:t>on</w:t>
      </w:r>
      <w:r w:rsidRPr="00013DCB">
        <w:t xml:space="preserve"> the </w:t>
      </w:r>
      <w:r w:rsidR="000641DE">
        <w:t>Performance Credit Mechanism (</w:t>
      </w:r>
      <w:r w:rsidRPr="00013DCB">
        <w:t>PCM</w:t>
      </w:r>
      <w:r w:rsidR="000641DE">
        <w:t xml:space="preserve">) </w:t>
      </w:r>
      <w:r w:rsidRPr="00013DCB">
        <w:t>described therein</w:t>
      </w:r>
      <w:r w:rsidR="00311280">
        <w:t>, which is the leading candidate</w:t>
      </w:r>
      <w:r w:rsidR="00824CE5">
        <w:t xml:space="preserve"> among the proposals</w:t>
      </w:r>
      <w:r w:rsidRPr="00013DCB">
        <w:t>.</w:t>
      </w:r>
      <w:r w:rsidR="00B870EA">
        <w:rPr>
          <w:rStyle w:val="FootnoteReference"/>
        </w:rPr>
        <w:footnoteReference w:id="7"/>
      </w:r>
      <w:r w:rsidRPr="00013DCB">
        <w:t xml:space="preserve"> </w:t>
      </w:r>
    </w:p>
    <w:p w14:paraId="08013AAC" w14:textId="15928C7D" w:rsidR="008F74CE" w:rsidRDefault="0076512C" w:rsidP="00D33F59">
      <w:pPr>
        <w:spacing w:after="0"/>
      </w:pPr>
      <w:r>
        <w:t>Our comments make the</w:t>
      </w:r>
      <w:r w:rsidR="009E2D2E">
        <w:t xml:space="preserve"> </w:t>
      </w:r>
      <w:r w:rsidR="00FD239C">
        <w:t>following</w:t>
      </w:r>
      <w:r w:rsidR="009E2D2E">
        <w:t xml:space="preserve"> </w:t>
      </w:r>
      <w:r w:rsidR="00194ED1">
        <w:t xml:space="preserve">recommendations </w:t>
      </w:r>
      <w:r w:rsidR="009E2D2E">
        <w:t xml:space="preserve">to </w:t>
      </w:r>
      <w:r w:rsidR="00DF28A6">
        <w:t>the PUCT</w:t>
      </w:r>
      <w:r w:rsidR="00095410">
        <w:t>:</w:t>
      </w:r>
    </w:p>
    <w:p w14:paraId="2F555EB3" w14:textId="48D7D400" w:rsidR="00A55261" w:rsidRDefault="00524F9A" w:rsidP="00456249">
      <w:pPr>
        <w:pStyle w:val="ListParagraph"/>
        <w:numPr>
          <w:ilvl w:val="0"/>
          <w:numId w:val="40"/>
        </w:numPr>
        <w:spacing w:after="0"/>
        <w:ind w:left="1260"/>
      </w:pPr>
      <w:r>
        <w:t xml:space="preserve">The </w:t>
      </w:r>
      <w:r w:rsidR="00D33F59">
        <w:t xml:space="preserve">PUCT should </w:t>
      </w:r>
      <w:r w:rsidR="005109ED">
        <w:t xml:space="preserve">do additional </w:t>
      </w:r>
      <w:r w:rsidR="00B736B8">
        <w:t>analysis</w:t>
      </w:r>
      <w:r>
        <w:t xml:space="preserve"> on the reliability needs of ERCOT</w:t>
      </w:r>
      <w:r w:rsidR="00B333B8">
        <w:t xml:space="preserve">, </w:t>
      </w:r>
      <w:r w:rsidR="005109ED">
        <w:t xml:space="preserve">as </w:t>
      </w:r>
      <w:r w:rsidR="00B333B8">
        <w:t>it is</w:t>
      </w:r>
      <w:r w:rsidR="00D33F59">
        <w:t xml:space="preserve"> currently</w:t>
      </w:r>
      <w:r w:rsidR="00B333B8">
        <w:t xml:space="preserve"> unclear whether </w:t>
      </w:r>
      <w:r w:rsidR="00D52018">
        <w:t xml:space="preserve">the </w:t>
      </w:r>
      <w:r w:rsidR="00B736B8">
        <w:t xml:space="preserve">PUCT needs to create a new mechanism to ensure </w:t>
      </w:r>
      <w:r w:rsidR="005D6793">
        <w:t>reliability</w:t>
      </w:r>
      <w:r w:rsidR="00BC6297">
        <w:t>.</w:t>
      </w:r>
    </w:p>
    <w:p w14:paraId="4CEF1451" w14:textId="30E46B44" w:rsidR="00D80EAD" w:rsidRDefault="00A21CC6">
      <w:pPr>
        <w:pStyle w:val="ListParagraph"/>
        <w:numPr>
          <w:ilvl w:val="0"/>
          <w:numId w:val="40"/>
        </w:numPr>
        <w:spacing w:after="0"/>
        <w:ind w:left="1260"/>
      </w:pPr>
      <w:r>
        <w:t xml:space="preserve">If a </w:t>
      </w:r>
      <w:r w:rsidR="00B736B8">
        <w:t xml:space="preserve">new </w:t>
      </w:r>
      <w:r>
        <w:t xml:space="preserve">mechanism </w:t>
      </w:r>
      <w:r w:rsidR="00BA05F1">
        <w:t xml:space="preserve">is necessary, </w:t>
      </w:r>
      <w:r w:rsidR="00B736B8">
        <w:t>it should be technology</w:t>
      </w:r>
      <w:r w:rsidR="00D52018">
        <w:t>-</w:t>
      </w:r>
      <w:r w:rsidR="00B736B8">
        <w:t xml:space="preserve">neutral </w:t>
      </w:r>
      <w:r w:rsidR="007466E3">
        <w:t>to ensure just and reasonable rates for consumers</w:t>
      </w:r>
      <w:r w:rsidR="00D80EAD">
        <w:t>. A</w:t>
      </w:r>
      <w:r w:rsidR="007466E3" w:rsidDel="00D33F59">
        <w:t xml:space="preserve"> </w:t>
      </w:r>
      <w:r w:rsidR="00390B09" w:rsidDel="00D33F59">
        <w:t>technology</w:t>
      </w:r>
      <w:r w:rsidR="00D80EAD">
        <w:t>-</w:t>
      </w:r>
      <w:r w:rsidR="00390B09" w:rsidDel="00D33F59">
        <w:t>neutral</w:t>
      </w:r>
      <w:r w:rsidR="00D80EAD">
        <w:t xml:space="preserve"> mechanism would compensate all resources for their reliability value, rather than favoring particular generation methods.</w:t>
      </w:r>
    </w:p>
    <w:p w14:paraId="556F0970" w14:textId="5D4C3654" w:rsidR="00A55261" w:rsidRPr="0072012E" w:rsidRDefault="00B736B8" w:rsidP="00456249">
      <w:pPr>
        <w:pStyle w:val="ListParagraph"/>
        <w:numPr>
          <w:ilvl w:val="0"/>
          <w:numId w:val="40"/>
        </w:numPr>
        <w:spacing w:after="0"/>
        <w:ind w:left="1260"/>
      </w:pPr>
      <w:r>
        <w:t>Non-performance p</w:t>
      </w:r>
      <w:r w:rsidR="006F0E5C">
        <w:t xml:space="preserve">enalties should </w:t>
      </w:r>
      <w:r w:rsidR="00194ED1">
        <w:t>reflect the soci</w:t>
      </w:r>
      <w:r w:rsidR="009E2D2E">
        <w:t>et</w:t>
      </w:r>
      <w:r w:rsidR="00194ED1">
        <w:t xml:space="preserve">al value of generation, including reliability, </w:t>
      </w:r>
      <w:r>
        <w:t>to</w:t>
      </w:r>
      <w:r w:rsidR="009E2D2E" w:rsidDel="00B736B8">
        <w:t xml:space="preserve"> </w:t>
      </w:r>
      <w:r>
        <w:t xml:space="preserve">incentivize </w:t>
      </w:r>
      <w:r w:rsidR="009E2D2E">
        <w:t>generators to be available when generation would be most valuable to society</w:t>
      </w:r>
      <w:r w:rsidR="00BC6297">
        <w:t>.</w:t>
      </w:r>
    </w:p>
    <w:p w14:paraId="6C8338AF" w14:textId="205B6921" w:rsidR="00A55261" w:rsidRDefault="00C4212C" w:rsidP="00982DC5">
      <w:pPr>
        <w:pStyle w:val="ListParagraph"/>
        <w:numPr>
          <w:ilvl w:val="0"/>
          <w:numId w:val="40"/>
        </w:numPr>
        <w:spacing w:after="0"/>
        <w:ind w:left="1260"/>
      </w:pPr>
      <w:r>
        <w:lastRenderedPageBreak/>
        <w:t xml:space="preserve">Any </w:t>
      </w:r>
      <w:r w:rsidR="005D4308">
        <w:t xml:space="preserve">reliability mechanism should </w:t>
      </w:r>
      <w:r w:rsidR="00090274">
        <w:t>reduce</w:t>
      </w:r>
      <w:r w:rsidR="00AF6CF3" w:rsidDel="00D33F59">
        <w:t xml:space="preserve"> </w:t>
      </w:r>
      <w:r w:rsidR="000B6D12">
        <w:t xml:space="preserve">risk premia, and hence costs, </w:t>
      </w:r>
      <w:r w:rsidR="00AF6CF3" w:rsidDel="00D33F59">
        <w:t xml:space="preserve">by </w:t>
      </w:r>
      <w:r w:rsidR="00090274">
        <w:t>mitigating</w:t>
      </w:r>
      <w:r w:rsidR="005D4308">
        <w:t xml:space="preserve"> uncertainty</w:t>
      </w:r>
      <w:r w:rsidR="00090274">
        <w:t xml:space="preserve"> around </w:t>
      </w:r>
      <w:r w:rsidR="00F84BE7">
        <w:t xml:space="preserve">market </w:t>
      </w:r>
      <w:r w:rsidR="00090274">
        <w:t>revenues f</w:t>
      </w:r>
      <w:r w:rsidR="00F84BE7">
        <w:t>or investors</w:t>
      </w:r>
      <w:r w:rsidR="008A3B04">
        <w:t xml:space="preserve"> and </w:t>
      </w:r>
      <w:r w:rsidR="000C5281">
        <w:t>payments made by</w:t>
      </w:r>
      <w:r w:rsidR="008A3B04">
        <w:t xml:space="preserve"> L</w:t>
      </w:r>
      <w:r w:rsidR="004B52FD">
        <w:t>oad Serving Entities (</w:t>
      </w:r>
      <w:r w:rsidR="008A3B04">
        <w:t>LSEs</w:t>
      </w:r>
      <w:r w:rsidR="004B52FD">
        <w:t>)</w:t>
      </w:r>
      <w:r w:rsidR="00BC6297">
        <w:t>.</w:t>
      </w:r>
    </w:p>
    <w:p w14:paraId="6567CA6A" w14:textId="0B08CEC8" w:rsidR="009E2D2E" w:rsidRDefault="00C4212C">
      <w:pPr>
        <w:pStyle w:val="ListParagraph"/>
        <w:numPr>
          <w:ilvl w:val="0"/>
          <w:numId w:val="40"/>
        </w:numPr>
        <w:spacing w:after="0"/>
        <w:ind w:left="1260"/>
      </w:pPr>
      <w:r>
        <w:t>Any reliability mechanism</w:t>
      </w:r>
      <w:r w:rsidR="009E2D2E">
        <w:t xml:space="preserve"> should address </w:t>
      </w:r>
      <w:r w:rsidR="00EF4275">
        <w:t xml:space="preserve">the </w:t>
      </w:r>
      <w:r w:rsidR="009E2D2E">
        <w:t xml:space="preserve">potential for </w:t>
      </w:r>
      <w:r w:rsidR="00C52736">
        <w:t xml:space="preserve">generation resource </w:t>
      </w:r>
      <w:r w:rsidR="00B51FDD">
        <w:t>operator</w:t>
      </w:r>
      <w:r w:rsidR="00C52736">
        <w:t xml:space="preserve">s to exercise </w:t>
      </w:r>
      <w:r w:rsidR="009E2D2E">
        <w:t>market power.</w:t>
      </w:r>
    </w:p>
    <w:p w14:paraId="24D9BBD7" w14:textId="72AC8764" w:rsidR="0002799F" w:rsidRDefault="0026749C" w:rsidP="006F2512">
      <w:pPr>
        <w:spacing w:after="0"/>
        <w:ind w:firstLine="0"/>
      </w:pPr>
      <w:r>
        <w:t>Our comments also analyze the PCM</w:t>
      </w:r>
      <w:r w:rsidR="00B94A99">
        <w:t xml:space="preserve">, offering </w:t>
      </w:r>
      <w:r w:rsidR="00301493">
        <w:t>both critiques of the PCM and</w:t>
      </w:r>
      <w:r w:rsidR="00832B25">
        <w:t xml:space="preserve"> </w:t>
      </w:r>
      <w:r w:rsidR="001F220C">
        <w:t xml:space="preserve">proposals for how to improve its design.   </w:t>
      </w:r>
    </w:p>
    <w:p w14:paraId="153E9A9C" w14:textId="4EB94014" w:rsidR="00EE1A29" w:rsidRDefault="00764DB4" w:rsidP="009B6C53">
      <w:pPr>
        <w:pStyle w:val="Heading1"/>
        <w:keepNext/>
        <w:spacing w:after="0"/>
      </w:pPr>
      <w:bookmarkStart w:id="2" w:name="_Toc120445437"/>
      <w:r>
        <w:t xml:space="preserve">It </w:t>
      </w:r>
      <w:r w:rsidR="003E6C45">
        <w:t>I</w:t>
      </w:r>
      <w:r w:rsidR="006C3091">
        <w:t xml:space="preserve">s Unclear Whether </w:t>
      </w:r>
      <w:r>
        <w:t xml:space="preserve">a Second Reliability Mechanism </w:t>
      </w:r>
      <w:r w:rsidR="00CD3AF5">
        <w:t>I</w:t>
      </w:r>
      <w:r>
        <w:t>s Necessary</w:t>
      </w:r>
      <w:r w:rsidR="00A96E8D">
        <w:br/>
      </w:r>
    </w:p>
    <w:p w14:paraId="2DD240BA" w14:textId="60FED0A0" w:rsidR="00FE7C3E" w:rsidRDefault="00293CBC" w:rsidP="00FE7C3E">
      <w:pPr>
        <w:pStyle w:val="ListParagraph"/>
        <w:keepNext/>
        <w:spacing w:after="0"/>
      </w:pPr>
      <w:r>
        <w:t xml:space="preserve">S.B. 3 directs </w:t>
      </w:r>
      <w:r w:rsidR="00DD26D4">
        <w:t xml:space="preserve">the </w:t>
      </w:r>
      <w:r>
        <w:t xml:space="preserve">PUCT </w:t>
      </w:r>
      <w:r w:rsidR="001562DD">
        <w:t>to</w:t>
      </w:r>
      <w:r>
        <w:t xml:space="preserve"> </w:t>
      </w:r>
      <w:r w:rsidR="00265687">
        <w:t xml:space="preserve">establish a reliability standard </w:t>
      </w:r>
      <w:r w:rsidR="00AE2E37">
        <w:t>and then to determine the quantity and characteristics of ancillary or reliability services to achieve it.</w:t>
      </w:r>
      <w:r w:rsidR="00EC0606">
        <w:rPr>
          <w:rStyle w:val="FootnoteReference"/>
        </w:rPr>
        <w:footnoteReference w:id="8"/>
      </w:r>
      <w:r w:rsidR="00AE2E37">
        <w:t xml:space="preserve"> Only after </w:t>
      </w:r>
      <w:r w:rsidR="00F8200E">
        <w:t>the PUCT has accomplished these</w:t>
      </w:r>
      <w:r w:rsidR="00AE2E37">
        <w:t xml:space="preserve"> steps should the PUCT </w:t>
      </w:r>
      <w:r w:rsidR="00F8200E">
        <w:t xml:space="preserve">execute its </w:t>
      </w:r>
      <w:r w:rsidR="0052281C">
        <w:t>subsequent</w:t>
      </w:r>
      <w:r w:rsidR="00F8200E">
        <w:t xml:space="preserve"> </w:t>
      </w:r>
      <w:r w:rsidR="00AF6D0D">
        <w:t>duty</w:t>
      </w:r>
      <w:r w:rsidR="00F8200E">
        <w:t xml:space="preserve">: </w:t>
      </w:r>
      <w:r w:rsidR="00AE2E37">
        <w:t>ensur</w:t>
      </w:r>
      <w:r w:rsidR="00F8200E">
        <w:t>ing</w:t>
      </w:r>
      <w:r w:rsidR="00AE2E37">
        <w:t xml:space="preserve"> that ancillary or reliability services are procured</w:t>
      </w:r>
      <w:r w:rsidR="00CC01CF">
        <w:t xml:space="preserve"> to satisfy the reliability standard</w:t>
      </w:r>
      <w:r w:rsidR="00AE2E37">
        <w:t>.</w:t>
      </w:r>
      <w:r w:rsidR="004F5BD1">
        <w:rPr>
          <w:rStyle w:val="FootnoteReference"/>
        </w:rPr>
        <w:footnoteReference w:id="9"/>
      </w:r>
      <w:r w:rsidR="00AE2E37">
        <w:t xml:space="preserve"> </w:t>
      </w:r>
      <w:r w:rsidR="00CC01CF">
        <w:t>Thus, before the PUCT rushes to implement a</w:t>
      </w:r>
      <w:r w:rsidR="004F2C7A">
        <w:t xml:space="preserve"> new</w:t>
      </w:r>
      <w:r w:rsidR="00CC01CF">
        <w:t xml:space="preserve"> </w:t>
      </w:r>
      <w:r w:rsidR="004F2C7A">
        <w:t xml:space="preserve">mechanism to procure additional </w:t>
      </w:r>
      <w:r w:rsidR="00CC01CF">
        <w:t>service</w:t>
      </w:r>
      <w:r w:rsidR="004F2C7A">
        <w:t>s</w:t>
      </w:r>
      <w:r w:rsidR="00CC01CF">
        <w:t xml:space="preserve">, it should </w:t>
      </w:r>
      <w:r w:rsidR="00FE7C3E" w:rsidRPr="00FE7C3E">
        <w:t xml:space="preserve">first assess whether existing mechanisms are insufficient to </w:t>
      </w:r>
      <w:r w:rsidR="00FE7C3E">
        <w:t xml:space="preserve">meet </w:t>
      </w:r>
      <w:r w:rsidR="00301B6D">
        <w:t xml:space="preserve">the </w:t>
      </w:r>
      <w:r w:rsidR="00FE7C3E">
        <w:t>reliability standards</w:t>
      </w:r>
      <w:r w:rsidR="00301B6D">
        <w:t xml:space="preserve"> PUCT will set under S.B.</w:t>
      </w:r>
      <w:r w:rsidR="00286E07">
        <w:t xml:space="preserve"> </w:t>
      </w:r>
      <w:r w:rsidR="00301B6D">
        <w:t>3</w:t>
      </w:r>
      <w:r w:rsidR="00FE7C3E">
        <w:t>.</w:t>
      </w:r>
    </w:p>
    <w:p w14:paraId="5CD8CEDD" w14:textId="4F729373" w:rsidR="00293CBC" w:rsidRDefault="00043BB2">
      <w:pPr>
        <w:pStyle w:val="ListParagraph"/>
        <w:keepNext/>
        <w:spacing w:after="0"/>
      </w:pPr>
      <w:r>
        <w:t>T</w:t>
      </w:r>
      <w:r w:rsidR="00DC66C1">
        <w:t>he mechanisms</w:t>
      </w:r>
      <w:r w:rsidR="007D316A">
        <w:t xml:space="preserve"> in the E3 report</w:t>
      </w:r>
      <w:r w:rsidR="00DC66C1">
        <w:t xml:space="preserve"> primarily address a </w:t>
      </w:r>
      <w:r w:rsidR="00B45346">
        <w:t>specific type of reliability problem—</w:t>
      </w:r>
      <w:r w:rsidR="00DC66C1">
        <w:t>resource adequacy</w:t>
      </w:r>
      <w:r w:rsidR="00B45346">
        <w:t>—</w:t>
      </w:r>
      <w:r w:rsidR="00DC66C1">
        <w:t xml:space="preserve">before </w:t>
      </w:r>
      <w:r w:rsidR="008C3646">
        <w:t xml:space="preserve">properly diagnosing </w:t>
      </w:r>
      <w:r w:rsidR="00DC66C1">
        <w:t xml:space="preserve">ERCOT’s </w:t>
      </w:r>
      <w:r w:rsidR="008C3646">
        <w:t>true</w:t>
      </w:r>
      <w:r w:rsidR="00DC66C1">
        <w:t xml:space="preserve"> needs. </w:t>
      </w:r>
      <w:r w:rsidR="00301B6D">
        <w:t xml:space="preserve">In reality, the reforms PUCT already implemented since Uri may have been enough to achieve the </w:t>
      </w:r>
      <w:r w:rsidR="003B66F3">
        <w:t>forthcoming</w:t>
      </w:r>
      <w:r w:rsidR="00301B6D">
        <w:t xml:space="preserve"> reliability standard. </w:t>
      </w:r>
      <w:r w:rsidR="00B66318">
        <w:t xml:space="preserve">For this reason, we agree with the Senators who advised the PUCT to “first </w:t>
      </w:r>
      <w:r w:rsidR="00B66318">
        <w:lastRenderedPageBreak/>
        <w:t>take action to define the reliability goals for the ERCOT region prior to moving forward with any significant market redesign</w:t>
      </w:r>
      <w:r w:rsidR="00A1293D">
        <w:t>.”</w:t>
      </w:r>
      <w:r w:rsidR="004A542F">
        <w:rPr>
          <w:rStyle w:val="FootnoteReference"/>
        </w:rPr>
        <w:footnoteReference w:id="10"/>
      </w:r>
      <w:r w:rsidR="00301B6D" w:rsidDel="00301B6D">
        <w:t xml:space="preserve"> </w:t>
      </w:r>
    </w:p>
    <w:p w14:paraId="3704FB7D" w14:textId="00ABB9D8" w:rsidR="00FC6226" w:rsidRPr="001A6C2F" w:rsidRDefault="00A215BF" w:rsidP="00397A56">
      <w:pPr>
        <w:pStyle w:val="Heading2"/>
        <w:spacing w:after="0"/>
      </w:pPr>
      <w:r>
        <w:t>The</w:t>
      </w:r>
      <w:r w:rsidRPr="00382EF4">
        <w:t xml:space="preserve"> </w:t>
      </w:r>
      <w:r w:rsidR="00FC6226" w:rsidRPr="002C6713">
        <w:t>Role of Markets in Achieving Reliability</w:t>
      </w:r>
      <w:r w:rsidR="000D053B">
        <w:br/>
      </w:r>
    </w:p>
    <w:p w14:paraId="7B32582A" w14:textId="4ED2C178" w:rsidR="003E60A2" w:rsidRDefault="000D087F" w:rsidP="006A685E">
      <w:pPr>
        <w:pStyle w:val="ListParagraph"/>
        <w:keepNext/>
        <w:spacing w:after="0"/>
      </w:pPr>
      <w:r>
        <w:t>To understand</w:t>
      </w:r>
      <w:r w:rsidR="00415A7B">
        <w:t xml:space="preserve"> </w:t>
      </w:r>
      <w:r w:rsidR="008842EE">
        <w:t xml:space="preserve">whether there is a need for a new reliability </w:t>
      </w:r>
      <w:r w:rsidR="00415A7B">
        <w:t>mechanism</w:t>
      </w:r>
      <w:r>
        <w:t xml:space="preserve"> in ERCOT</w:t>
      </w:r>
      <w:r w:rsidR="00415A7B">
        <w:t>, i</w:t>
      </w:r>
      <w:r w:rsidR="00A72EDB">
        <w:t xml:space="preserve">t is important to review some preliminaries </w:t>
      </w:r>
      <w:r w:rsidR="003E1D5D">
        <w:t xml:space="preserve">about </w:t>
      </w:r>
      <w:r w:rsidR="00A577B4">
        <w:t xml:space="preserve">how </w:t>
      </w:r>
      <w:r w:rsidR="00415A7B">
        <w:t xml:space="preserve">markets </w:t>
      </w:r>
      <w:r w:rsidR="00A577B4">
        <w:t xml:space="preserve">efficiently achieve reliability and </w:t>
      </w:r>
      <w:r w:rsidR="00210652">
        <w:t>the current functioning of ERCOT</w:t>
      </w:r>
      <w:r w:rsidR="004B0773">
        <w:t xml:space="preserve">’s </w:t>
      </w:r>
      <w:r w:rsidR="00B02E97">
        <w:t xml:space="preserve">wholesale </w:t>
      </w:r>
      <w:r w:rsidR="0013663E">
        <w:t>market</w:t>
      </w:r>
      <w:r w:rsidR="008842EE">
        <w:t>.</w:t>
      </w:r>
      <w:r w:rsidR="00415A7B">
        <w:t xml:space="preserve"> </w:t>
      </w:r>
      <w:r w:rsidR="00D977E1">
        <w:t>I</w:t>
      </w:r>
      <w:r w:rsidR="003E60A2">
        <w:t>nvestment in generation capacity is efficient</w:t>
      </w:r>
      <w:r w:rsidR="006870AD">
        <w:t xml:space="preserve"> </w:t>
      </w:r>
      <w:r w:rsidR="003E60A2">
        <w:t>when the marginal societal benefits from an additional unit of generation capacity equals the marginal societal cost of providing that capacity.</w:t>
      </w:r>
      <w:bookmarkStart w:id="3" w:name="_Ref121828359"/>
      <w:r w:rsidR="003E60A2">
        <w:rPr>
          <w:rStyle w:val="FootnoteReference"/>
        </w:rPr>
        <w:footnoteReference w:id="11"/>
      </w:r>
      <w:bookmarkEnd w:id="3"/>
      <w:r w:rsidR="003E60A2">
        <w:t xml:space="preserve"> When considering the societal benefits of new generation capacity, one should </w:t>
      </w:r>
      <w:r w:rsidR="005606A9">
        <w:t>consider</w:t>
      </w:r>
      <w:r w:rsidR="003E60A2">
        <w:t xml:space="preserve"> not only the value of the energy that the resource can generate, but also other sources of value, such as reliability. </w:t>
      </w:r>
      <w:r w:rsidR="001562DD">
        <w:t>I</w:t>
      </w:r>
      <w:r w:rsidR="003E60A2">
        <w:t xml:space="preserve">n well-designed markets, investors </w:t>
      </w:r>
      <w:r w:rsidR="005109ED">
        <w:t xml:space="preserve">have the incentive to </w:t>
      </w:r>
      <w:r w:rsidR="003E60A2">
        <w:t xml:space="preserve">add new capacity to the system until the </w:t>
      </w:r>
      <w:r w:rsidR="00F045D3">
        <w:t xml:space="preserve">societal costs of the additional capacity begins to outweigh </w:t>
      </w:r>
      <w:r w:rsidR="00492B7E">
        <w:t xml:space="preserve">its </w:t>
      </w:r>
      <w:r w:rsidR="00F045D3">
        <w:t xml:space="preserve">societal </w:t>
      </w:r>
      <w:r w:rsidR="003E60A2">
        <w:t xml:space="preserve">benefits, including reliability. </w:t>
      </w:r>
    </w:p>
    <w:p w14:paraId="24F2535B" w14:textId="73CBBD4C" w:rsidR="00095B39" w:rsidRDefault="00887F4E" w:rsidP="007407FA">
      <w:pPr>
        <w:pStyle w:val="ListParagraph"/>
        <w:spacing w:after="0"/>
      </w:pPr>
      <w:r>
        <w:t>Reliability has two dimensions: (1) resource adequacy—having enough resources to meet demand, taking into account scheduled and reasonably expected outages; and (2) security—operational ability to withstand sudden disturbances.</w:t>
      </w:r>
      <w:r>
        <w:rPr>
          <w:rStyle w:val="FootnoteReference"/>
        </w:rPr>
        <w:footnoteReference w:id="12"/>
      </w:r>
      <w:r>
        <w:t xml:space="preserve"> </w:t>
      </w:r>
      <w:r w:rsidR="00A72EDB">
        <w:t>Wholesale electricity markets</w:t>
      </w:r>
      <w:r w:rsidR="00DD5218">
        <w:t xml:space="preserve"> (day-ahead, real-time, and ancillary-service markets)</w:t>
      </w:r>
      <w:r w:rsidR="00A72EDB">
        <w:t xml:space="preserve"> </w:t>
      </w:r>
      <w:r w:rsidR="009B5A3B">
        <w:t xml:space="preserve">are intended </w:t>
      </w:r>
      <w:r w:rsidR="002C766E">
        <w:t xml:space="preserve">to </w:t>
      </w:r>
      <w:r w:rsidR="00CB1DDA">
        <w:t xml:space="preserve">efficiently </w:t>
      </w:r>
      <w:r w:rsidR="00A72EDB">
        <w:t xml:space="preserve">achieve </w:t>
      </w:r>
      <w:r w:rsidR="004307E5">
        <w:t xml:space="preserve">both </w:t>
      </w:r>
      <w:r w:rsidR="005109ED">
        <w:t xml:space="preserve">dimensions </w:t>
      </w:r>
      <w:r w:rsidR="004307E5">
        <w:t xml:space="preserve">of </w:t>
      </w:r>
      <w:r w:rsidR="00A72EDB">
        <w:t>reli</w:t>
      </w:r>
      <w:r w:rsidR="00DB3004">
        <w:t>ability.</w:t>
      </w:r>
      <w:r w:rsidR="00CF1FCD">
        <w:rPr>
          <w:rStyle w:val="FootnoteReference"/>
        </w:rPr>
        <w:footnoteReference w:id="13"/>
      </w:r>
      <w:r w:rsidR="00E86709">
        <w:t xml:space="preserve"> </w:t>
      </w:r>
      <w:r w:rsidR="002065BA">
        <w:t>W</w:t>
      </w:r>
      <w:r w:rsidR="004307E5">
        <w:t>hen whol</w:t>
      </w:r>
      <w:r w:rsidR="00CB1DDA">
        <w:t>e</w:t>
      </w:r>
      <w:r w:rsidR="004307E5">
        <w:t xml:space="preserve">sale </w:t>
      </w:r>
      <w:r w:rsidR="008D510D">
        <w:t xml:space="preserve">electricity prices </w:t>
      </w:r>
      <w:r w:rsidR="00D4202B">
        <w:t xml:space="preserve">are allowed to </w:t>
      </w:r>
      <w:r w:rsidR="000A472B">
        <w:t xml:space="preserve">fluctuate </w:t>
      </w:r>
      <w:r w:rsidR="009B5DD7">
        <w:t xml:space="preserve">according </w:t>
      </w:r>
      <w:r w:rsidR="00485193">
        <w:t xml:space="preserve">to </w:t>
      </w:r>
      <w:r w:rsidR="009B5DD7">
        <w:t xml:space="preserve">the value </w:t>
      </w:r>
      <w:r w:rsidR="00E57AE1">
        <w:t xml:space="preserve">that energy </w:t>
      </w:r>
      <w:r w:rsidR="009B5DD7">
        <w:t>provide</w:t>
      </w:r>
      <w:r w:rsidR="00E57AE1">
        <w:t>s</w:t>
      </w:r>
      <w:r w:rsidR="009B5DD7">
        <w:t xml:space="preserve"> to the electricity system</w:t>
      </w:r>
      <w:r w:rsidR="004307E5">
        <w:t xml:space="preserve">, the </w:t>
      </w:r>
      <w:r w:rsidR="00A178F8">
        <w:t xml:space="preserve">resulting </w:t>
      </w:r>
      <w:r w:rsidR="004307E5">
        <w:t>revenue i</w:t>
      </w:r>
      <w:r w:rsidR="004307E5" w:rsidRPr="004307E5">
        <w:t xml:space="preserve">ncentivizes </w:t>
      </w:r>
      <w:r w:rsidR="007D08C0">
        <w:t xml:space="preserve">the efficient </w:t>
      </w:r>
      <w:r w:rsidR="007D08C0">
        <w:lastRenderedPageBreak/>
        <w:t>level of</w:t>
      </w:r>
      <w:r w:rsidR="004307E5" w:rsidRPr="004307E5">
        <w:t xml:space="preserve"> generation capacity</w:t>
      </w:r>
      <w:r w:rsidR="002065BA">
        <w:t>, ensuring resource adequacy</w:t>
      </w:r>
      <w:r w:rsidR="009B5DD7">
        <w:t>.</w:t>
      </w:r>
      <w:bookmarkStart w:id="4" w:name="_Ref121757917"/>
      <w:r w:rsidR="009B5DD7">
        <w:rPr>
          <w:rStyle w:val="FootnoteReference"/>
        </w:rPr>
        <w:footnoteReference w:id="14"/>
      </w:r>
      <w:bookmarkEnd w:id="4"/>
      <w:r w:rsidR="00451C32">
        <w:t xml:space="preserve"> </w:t>
      </w:r>
      <w:r w:rsidR="007407FA">
        <w:t>E</w:t>
      </w:r>
      <w:r w:rsidR="00D4202B">
        <w:t xml:space="preserve">nergy prices increase when there is scarcity, signaling the societal value of additional investment. </w:t>
      </w:r>
      <w:r w:rsidR="00853837">
        <w:t>In these situations</w:t>
      </w:r>
      <w:r w:rsidR="00D4202B">
        <w:t>,</w:t>
      </w:r>
      <w:r w:rsidR="00095B39">
        <w:t xml:space="preserve"> </w:t>
      </w:r>
      <w:r w:rsidR="00853837">
        <w:t xml:space="preserve">high prices </w:t>
      </w:r>
      <w:r w:rsidR="00D4202B">
        <w:t>create sufficient revenue opportunities for investors to recover the costs of investing in capacity</w:t>
      </w:r>
      <w:r w:rsidR="00095B39">
        <w:t xml:space="preserve">, even if the prices occur </w:t>
      </w:r>
      <w:r w:rsidR="00824FED">
        <w:t xml:space="preserve">for only </w:t>
      </w:r>
      <w:r w:rsidR="00095B39">
        <w:t xml:space="preserve">a few hours </w:t>
      </w:r>
      <w:r w:rsidR="00824FED">
        <w:t>each</w:t>
      </w:r>
      <w:r w:rsidR="00095B39">
        <w:t xml:space="preserve"> year</w:t>
      </w:r>
      <w:r w:rsidR="00D4202B">
        <w:t xml:space="preserve">. </w:t>
      </w:r>
      <w:r w:rsidR="00F93204">
        <w:t xml:space="preserve">Both </w:t>
      </w:r>
      <w:r w:rsidR="009F44D5">
        <w:t xml:space="preserve">price-setting generators and </w:t>
      </w:r>
      <w:r w:rsidR="000C4B49">
        <w:t>price-taking</w:t>
      </w:r>
      <w:r w:rsidR="009F44D5">
        <w:t xml:space="preserve"> generators rely on these </w:t>
      </w:r>
      <w:r w:rsidR="00974815">
        <w:t>few hours to recover their investment costs.</w:t>
      </w:r>
      <w:bookmarkStart w:id="5" w:name="_Ref121757942"/>
      <w:r w:rsidR="00974815">
        <w:rPr>
          <w:rStyle w:val="FootnoteReference"/>
        </w:rPr>
        <w:footnoteReference w:id="15"/>
      </w:r>
      <w:bookmarkEnd w:id="5"/>
      <w:r w:rsidR="00974815">
        <w:t xml:space="preserve"> </w:t>
      </w:r>
    </w:p>
    <w:p w14:paraId="1BC396EA" w14:textId="503CB125" w:rsidR="00C51392" w:rsidRDefault="00EA7261" w:rsidP="006F2512">
      <w:pPr>
        <w:pStyle w:val="ListParagraph"/>
        <w:spacing w:after="0"/>
      </w:pPr>
      <w:r>
        <w:t>However,</w:t>
      </w:r>
      <w:r w:rsidR="00195ABA">
        <w:t xml:space="preserve"> binding </w:t>
      </w:r>
      <w:r w:rsidR="00D52898">
        <w:t>price caps</w:t>
      </w:r>
      <w:r w:rsidR="005A5105">
        <w:t xml:space="preserve"> </w:t>
      </w:r>
      <w:r w:rsidR="00D72621">
        <w:t xml:space="preserve">and a variety of other factors </w:t>
      </w:r>
      <w:r w:rsidR="005A5105">
        <w:t>prevent electricity prices from reflecting the full societal value of electricity during scarcity</w:t>
      </w:r>
      <w:r w:rsidR="00195ABA">
        <w:t>.</w:t>
      </w:r>
      <w:r w:rsidR="005C6909">
        <w:rPr>
          <w:rStyle w:val="FootnoteReference"/>
        </w:rPr>
        <w:footnoteReference w:id="16"/>
      </w:r>
      <w:r w:rsidR="00195ABA">
        <w:t xml:space="preserve"> </w:t>
      </w:r>
      <w:r w:rsidR="004C0FC5">
        <w:t>In turn</w:t>
      </w:r>
      <w:r w:rsidR="00D72621">
        <w:t xml:space="preserve">, </w:t>
      </w:r>
      <w:r w:rsidR="00D52898">
        <w:t xml:space="preserve">prices </w:t>
      </w:r>
      <w:r w:rsidR="001D7E25">
        <w:t xml:space="preserve">typically </w:t>
      </w:r>
      <w:r w:rsidR="006478FA">
        <w:t xml:space="preserve">do not </w:t>
      </w:r>
      <w:r w:rsidR="00D52898">
        <w:t xml:space="preserve">reach </w:t>
      </w:r>
      <w:r w:rsidR="0030341B">
        <w:t xml:space="preserve">levels </w:t>
      </w:r>
      <w:r w:rsidR="00D52898">
        <w:t>high enough to</w:t>
      </w:r>
      <w:r w:rsidR="000F5AC8">
        <w:t xml:space="preserve"> </w:t>
      </w:r>
      <w:r w:rsidR="006811E4">
        <w:t xml:space="preserve">allow </w:t>
      </w:r>
      <w:r w:rsidR="00651142">
        <w:t xml:space="preserve">generation resources to recover their investment </w:t>
      </w:r>
      <w:r w:rsidR="00033DB5">
        <w:t xml:space="preserve">costs, </w:t>
      </w:r>
      <w:r w:rsidR="004D4324">
        <w:t>discourag</w:t>
      </w:r>
      <w:r w:rsidR="00033DB5">
        <w:t>ing</w:t>
      </w:r>
      <w:r w:rsidR="004D4324">
        <w:t xml:space="preserve"> </w:t>
      </w:r>
      <w:r w:rsidR="00E642F3">
        <w:t xml:space="preserve">adequate </w:t>
      </w:r>
      <w:r w:rsidR="00D52898">
        <w:t>in</w:t>
      </w:r>
      <w:r w:rsidR="00DA70FF">
        <w:t>vestment in</w:t>
      </w:r>
      <w:r w:rsidR="00D52898">
        <w:t xml:space="preserve"> generation capacity</w:t>
      </w:r>
      <w:r w:rsidR="008B7B2E">
        <w:t>.</w:t>
      </w:r>
      <w:r w:rsidR="008B7B2E">
        <w:rPr>
          <w:rStyle w:val="FootnoteReference"/>
        </w:rPr>
        <w:footnoteReference w:id="17"/>
      </w:r>
      <w:r w:rsidR="006B767B">
        <w:t xml:space="preserve"> </w:t>
      </w:r>
      <w:r w:rsidR="00C500B9">
        <w:t>This</w:t>
      </w:r>
      <w:r w:rsidR="006B767B">
        <w:t xml:space="preserve"> </w:t>
      </w:r>
      <w:r w:rsidR="00DA70FF">
        <w:t>problem</w:t>
      </w:r>
      <w:r w:rsidR="006B767B">
        <w:t xml:space="preserve"> </w:t>
      </w:r>
      <w:r w:rsidR="006A7EA2">
        <w:t>is called the “missing money” problem</w:t>
      </w:r>
      <w:r w:rsidR="005C763F">
        <w:t xml:space="preserve">, because </w:t>
      </w:r>
      <w:r w:rsidR="0015463C">
        <w:t xml:space="preserve">investors are missing </w:t>
      </w:r>
      <w:r w:rsidR="00E642F3">
        <w:t xml:space="preserve">some of the </w:t>
      </w:r>
      <w:r w:rsidR="0015463C">
        <w:t xml:space="preserve">money </w:t>
      </w:r>
      <w:r w:rsidR="001C04F0">
        <w:t>they</w:t>
      </w:r>
      <w:r w:rsidR="00EC572F">
        <w:t xml:space="preserve"> </w:t>
      </w:r>
      <w:r w:rsidR="00E642F3">
        <w:t xml:space="preserve">would </w:t>
      </w:r>
      <w:r w:rsidR="00EC572F">
        <w:t>need to recoup their investments</w:t>
      </w:r>
      <w:r w:rsidR="006A7EA2">
        <w:t>.</w:t>
      </w:r>
      <w:r w:rsidR="00D02D98">
        <w:rPr>
          <w:rStyle w:val="FootnoteReference"/>
        </w:rPr>
        <w:footnoteReference w:id="18"/>
      </w:r>
      <w:r w:rsidR="00EE75A8">
        <w:t xml:space="preserve"> </w:t>
      </w:r>
      <w:r w:rsidR="006F5E3D">
        <w:t xml:space="preserve">The missing money problem </w:t>
      </w:r>
      <w:r w:rsidR="0065669C">
        <w:t>prevents investment in generation capacity from reaching the efficient level</w:t>
      </w:r>
      <w:r w:rsidR="003B5587">
        <w:t>, where marginal societal benefits equal marginal societal costs</w:t>
      </w:r>
      <w:r w:rsidR="0065669C">
        <w:t xml:space="preserve">. </w:t>
      </w:r>
      <w:r w:rsidR="00211FBC">
        <w:t>Thus</w:t>
      </w:r>
      <w:r w:rsidR="00195ABA">
        <w:t xml:space="preserve">, </w:t>
      </w:r>
      <w:r w:rsidR="00EE4A63">
        <w:t xml:space="preserve">some </w:t>
      </w:r>
      <w:r w:rsidR="00195ABA">
        <w:t xml:space="preserve">additional </w:t>
      </w:r>
      <w:r w:rsidR="00457194">
        <w:t>reliability</w:t>
      </w:r>
      <w:r w:rsidR="00195ABA">
        <w:t xml:space="preserve"> mechanism is needed to</w:t>
      </w:r>
      <w:r w:rsidR="00C500B9">
        <w:t xml:space="preserve"> overcome the missing money problem and </w:t>
      </w:r>
      <w:r w:rsidR="00195ABA">
        <w:t xml:space="preserve">ensure resource adequacy. </w:t>
      </w:r>
    </w:p>
    <w:p w14:paraId="66BE8862" w14:textId="2B0D0631" w:rsidR="00AD740F" w:rsidRDefault="003C7765" w:rsidP="007F60B4">
      <w:pPr>
        <w:pStyle w:val="ListParagraph"/>
        <w:spacing w:after="0"/>
      </w:pPr>
      <w:r>
        <w:t>In ERCOT, the</w:t>
      </w:r>
      <w:r w:rsidR="00D15780">
        <w:t xml:space="preserve"> ORDC</w:t>
      </w:r>
      <w:r w:rsidR="00AB5552">
        <w:t xml:space="preserve"> </w:t>
      </w:r>
      <w:r>
        <w:t>is such a</w:t>
      </w:r>
      <w:r w:rsidR="00407AE7">
        <w:t xml:space="preserve"> reliability</w:t>
      </w:r>
      <w:r>
        <w:t xml:space="preserve"> mechanism. </w:t>
      </w:r>
      <w:r w:rsidR="00CA265E">
        <w:t>Under this policy, a scarcity price kicks in</w:t>
      </w:r>
      <w:r w:rsidR="00D15780">
        <w:t xml:space="preserve"> </w:t>
      </w:r>
      <w:r w:rsidR="002A4467">
        <w:t>when operating reserves are low</w:t>
      </w:r>
      <w:r w:rsidR="00757671">
        <w:t xml:space="preserve">. This </w:t>
      </w:r>
      <w:r w:rsidR="005B2698">
        <w:t>high</w:t>
      </w:r>
      <w:r w:rsidR="00CA265E">
        <w:t xml:space="preserve"> </w:t>
      </w:r>
      <w:r w:rsidR="00430409">
        <w:t xml:space="preserve">price reflects the </w:t>
      </w:r>
      <w:r w:rsidR="00D40CFB">
        <w:t xml:space="preserve">value of </w:t>
      </w:r>
      <w:r w:rsidR="00747C3E">
        <w:t xml:space="preserve">energy produced </w:t>
      </w:r>
      <w:r w:rsidR="00747C3E">
        <w:lastRenderedPageBreak/>
        <w:t xml:space="preserve">during </w:t>
      </w:r>
      <w:r w:rsidR="00757671">
        <w:t xml:space="preserve">scarcity </w:t>
      </w:r>
      <w:r w:rsidR="00747C3E">
        <w:t>periods</w:t>
      </w:r>
      <w:r w:rsidR="00532C56">
        <w:t xml:space="preserve">, </w:t>
      </w:r>
      <w:r w:rsidR="003154F2">
        <w:t>compensat</w:t>
      </w:r>
      <w:r w:rsidR="0085559C">
        <w:t>ing</w:t>
      </w:r>
      <w:r w:rsidR="003154F2">
        <w:t xml:space="preserve"> generators according to the value they provide to the system</w:t>
      </w:r>
      <w:r w:rsidR="009E2EE7">
        <w:t>.</w:t>
      </w:r>
      <w:r w:rsidR="00BF207B">
        <w:t xml:space="preserve"> The level of scarcity price</w:t>
      </w:r>
      <w:r w:rsidR="00AB5552">
        <w:t xml:space="preserve">, and thus </w:t>
      </w:r>
      <w:r w:rsidR="00862FD9">
        <w:t xml:space="preserve">strength of </w:t>
      </w:r>
      <w:r w:rsidR="00AB5552">
        <w:t>the investment incentive,</w:t>
      </w:r>
      <w:r w:rsidR="00BF207B">
        <w:t xml:space="preserve"> is </w:t>
      </w:r>
      <w:r w:rsidR="00DA70FF">
        <w:t xml:space="preserve">determined </w:t>
      </w:r>
      <w:r w:rsidR="00E5601C">
        <w:t>by</w:t>
      </w:r>
      <w:r w:rsidR="00BF207B">
        <w:t xml:space="preserve"> </w:t>
      </w:r>
      <w:r w:rsidR="00B336CB">
        <w:t xml:space="preserve">how low the operating reserves are and where that value falls on the </w:t>
      </w:r>
      <w:r w:rsidR="004F312E">
        <w:t>ORDC</w:t>
      </w:r>
      <w:r w:rsidR="00DA70FF">
        <w:t>.</w:t>
      </w:r>
      <w:r w:rsidR="00B9439F">
        <w:t xml:space="preserve"> Thus, if the ORDC</w:t>
      </w:r>
      <w:r w:rsidR="00DA70FF">
        <w:t>, which is set administratively,</w:t>
      </w:r>
      <w:r w:rsidR="00B9439F">
        <w:t xml:space="preserve"> is </w:t>
      </w:r>
      <w:r w:rsidR="003B542E">
        <w:t xml:space="preserve">not well calibrated, the resulting </w:t>
      </w:r>
      <w:r w:rsidR="00510279">
        <w:t>scarcity prices may not</w:t>
      </w:r>
      <w:r w:rsidR="00AB5552">
        <w:t xml:space="preserve"> </w:t>
      </w:r>
      <w:r w:rsidR="007A2339">
        <w:t>suffice to</w:t>
      </w:r>
      <w:r w:rsidR="00510279">
        <w:t xml:space="preserve"> </w:t>
      </w:r>
      <w:r w:rsidR="003B542E">
        <w:t>solve the missing money problem</w:t>
      </w:r>
      <w:r w:rsidR="003F3EF2">
        <w:t xml:space="preserve"> caused by </w:t>
      </w:r>
      <w:r w:rsidR="00545D28">
        <w:t>ERCOT’s price cap</w:t>
      </w:r>
      <w:r w:rsidR="003028E9">
        <w:t xml:space="preserve">. </w:t>
      </w:r>
      <w:r w:rsidR="00BE18DB">
        <w:t xml:space="preserve">In such a case, a second reliability mechanism </w:t>
      </w:r>
      <w:r w:rsidR="00393D1D">
        <w:t xml:space="preserve">may be necessary to </w:t>
      </w:r>
      <w:r w:rsidR="00850332">
        <w:t xml:space="preserve">further </w:t>
      </w:r>
      <w:r w:rsidR="008F417E">
        <w:t>incentivize the investment needed to achieve a reliable system</w:t>
      </w:r>
      <w:r w:rsidR="003305F9">
        <w:t>.</w:t>
      </w:r>
      <w:r w:rsidR="00AD740F">
        <w:t xml:space="preserve"> </w:t>
      </w:r>
      <w:r w:rsidR="00EB430F">
        <w:t xml:space="preserve">If the ORDC </w:t>
      </w:r>
      <w:r w:rsidR="00EB430F">
        <w:rPr>
          <w:i/>
        </w:rPr>
        <w:t>is</w:t>
      </w:r>
      <w:r w:rsidR="00EB430F">
        <w:t xml:space="preserve"> well calibrated, however, a second reliability mechanism is not needed.</w:t>
      </w:r>
      <w:r w:rsidR="00EB430F" w:rsidDel="00EB430F">
        <w:t xml:space="preserve"> </w:t>
      </w:r>
    </w:p>
    <w:p w14:paraId="623759BC" w14:textId="59F96202" w:rsidR="00FC6226" w:rsidRPr="001A6C2F" w:rsidRDefault="00A215BF" w:rsidP="00397A56">
      <w:pPr>
        <w:pStyle w:val="Heading2"/>
        <w:spacing w:after="0"/>
      </w:pPr>
      <w:r w:rsidRPr="006455C0">
        <w:t>Whether</w:t>
      </w:r>
      <w:r w:rsidR="00593D9D" w:rsidRPr="00FB20BD">
        <w:t xml:space="preserve"> </w:t>
      </w:r>
      <w:r w:rsidR="00593D9D">
        <w:t xml:space="preserve">ERCOT Needs a New </w:t>
      </w:r>
      <w:r w:rsidR="00593D9D" w:rsidRPr="00FB20BD">
        <w:t>Reliability</w:t>
      </w:r>
      <w:r w:rsidR="00593D9D">
        <w:t xml:space="preserve"> Mechanism</w:t>
      </w:r>
      <w:r w:rsidR="00FB20BD">
        <w:br/>
      </w:r>
    </w:p>
    <w:p w14:paraId="0FBBD057" w14:textId="389666A5" w:rsidR="007A0AA3" w:rsidRPr="007F60B4" w:rsidRDefault="001C4D5A" w:rsidP="007F60B4">
      <w:pPr>
        <w:pStyle w:val="ListParagraph"/>
        <w:spacing w:after="0"/>
        <w:rPr>
          <w:lang w:val="en-US"/>
        </w:rPr>
      </w:pPr>
      <w:r>
        <w:t xml:space="preserve">ERCOT made significant changes </w:t>
      </w:r>
      <w:r w:rsidR="007822DD">
        <w:t xml:space="preserve">after </w:t>
      </w:r>
      <w:r w:rsidR="00EA2EE0">
        <w:t xml:space="preserve">Winter Storm </w:t>
      </w:r>
      <w:r w:rsidR="007822DD">
        <w:t>Uri</w:t>
      </w:r>
      <w:r w:rsidR="00EA2EE0">
        <w:t xml:space="preserve">. </w:t>
      </w:r>
      <w:r w:rsidR="00472680">
        <w:t>Among other changes</w:t>
      </w:r>
      <w:r w:rsidR="005B16C7">
        <w:t>,</w:t>
      </w:r>
      <w:r w:rsidR="00431709">
        <w:rPr>
          <w:rStyle w:val="FootnoteReference"/>
        </w:rPr>
        <w:footnoteReference w:id="19"/>
      </w:r>
      <w:r w:rsidR="005873C1">
        <w:t xml:space="preserve"> </w:t>
      </w:r>
      <w:r w:rsidR="00EA2EE0">
        <w:rPr>
          <w:lang w:val="en-US"/>
        </w:rPr>
        <w:t>ERCOT lowered the</w:t>
      </w:r>
      <w:r w:rsidR="001E6FA6">
        <w:rPr>
          <w:lang w:val="en-US"/>
        </w:rPr>
        <w:t xml:space="preserve"> maximum</w:t>
      </w:r>
      <w:r w:rsidR="00470599">
        <w:rPr>
          <w:lang w:val="en-US"/>
        </w:rPr>
        <w:t xml:space="preserve"> ORDC </w:t>
      </w:r>
      <w:r w:rsidR="00EA2EE0">
        <w:rPr>
          <w:lang w:val="en-US"/>
        </w:rPr>
        <w:t xml:space="preserve">price from $9,000 MWh to $5,000 MWh </w:t>
      </w:r>
      <w:r w:rsidR="00C51205">
        <w:rPr>
          <w:lang w:val="en-US"/>
        </w:rPr>
        <w:t>while also</w:t>
      </w:r>
      <w:r w:rsidR="00EA2EE0">
        <w:rPr>
          <w:lang w:val="en-US"/>
        </w:rPr>
        <w:t xml:space="preserve"> increas</w:t>
      </w:r>
      <w:r w:rsidR="00C51205">
        <w:rPr>
          <w:lang w:val="en-US"/>
        </w:rPr>
        <w:t>ing</w:t>
      </w:r>
      <w:r w:rsidR="00EA2EE0">
        <w:rPr>
          <w:lang w:val="en-US"/>
        </w:rPr>
        <w:t xml:space="preserve"> a parameter known as the minimum contingency level </w:t>
      </w:r>
      <w:r w:rsidR="004906BD">
        <w:rPr>
          <w:lang w:val="en-US"/>
        </w:rPr>
        <w:t xml:space="preserve">(which affects when scarcity prices are triggered) </w:t>
      </w:r>
      <w:r w:rsidR="00EA2EE0">
        <w:rPr>
          <w:lang w:val="en-US"/>
        </w:rPr>
        <w:t>from 2,000 MW to 3,000 MW.</w:t>
      </w:r>
      <w:bookmarkStart w:id="6" w:name="_Ref121844797"/>
      <w:r w:rsidR="00561923">
        <w:rPr>
          <w:rStyle w:val="FootnoteReference"/>
          <w:lang w:val="en-US"/>
        </w:rPr>
        <w:footnoteReference w:id="20"/>
      </w:r>
      <w:bookmarkEnd w:id="6"/>
      <w:r w:rsidR="00EA2EE0">
        <w:rPr>
          <w:lang w:val="en-US"/>
        </w:rPr>
        <w:t xml:space="preserve"> </w:t>
      </w:r>
      <w:r w:rsidR="001739CB">
        <w:rPr>
          <w:lang w:val="en-US"/>
        </w:rPr>
        <w:t>While the first change</w:t>
      </w:r>
      <w:r w:rsidR="007F60B4">
        <w:rPr>
          <w:lang w:val="en-US"/>
        </w:rPr>
        <w:t xml:space="preserve"> exacerbate</w:t>
      </w:r>
      <w:r w:rsidR="00521E98">
        <w:rPr>
          <w:lang w:val="en-US"/>
        </w:rPr>
        <w:t>s</w:t>
      </w:r>
      <w:r w:rsidR="007F60B4">
        <w:rPr>
          <w:lang w:val="en-US"/>
        </w:rPr>
        <w:t xml:space="preserve"> the missing money problem, the second change ameliorate</w:t>
      </w:r>
      <w:r w:rsidR="00521E98">
        <w:rPr>
          <w:lang w:val="en-US"/>
        </w:rPr>
        <w:t>s</w:t>
      </w:r>
      <w:r w:rsidR="007F60B4">
        <w:rPr>
          <w:lang w:val="en-US"/>
        </w:rPr>
        <w:t xml:space="preserve"> it. </w:t>
      </w:r>
      <w:r w:rsidR="008E4B52">
        <w:rPr>
          <w:lang w:val="en-US"/>
        </w:rPr>
        <w:t>According</w:t>
      </w:r>
      <w:r w:rsidR="000B4710">
        <w:rPr>
          <w:lang w:val="en-US"/>
        </w:rPr>
        <w:t xml:space="preserve"> to ERCOT, </w:t>
      </w:r>
      <w:r w:rsidR="008E4B52">
        <w:rPr>
          <w:lang w:val="en-US"/>
        </w:rPr>
        <w:t>the net effect of these changes has been</w:t>
      </w:r>
      <w:r w:rsidR="00A37F7E">
        <w:rPr>
          <w:lang w:val="en-US"/>
        </w:rPr>
        <w:t xml:space="preserve"> </w:t>
      </w:r>
      <w:r w:rsidR="007941DC">
        <w:rPr>
          <w:lang w:val="en-US"/>
        </w:rPr>
        <w:t>“</w:t>
      </w:r>
      <w:r w:rsidR="00A37F7E">
        <w:rPr>
          <w:lang w:val="en-US"/>
        </w:rPr>
        <w:t>higher price signal</w:t>
      </w:r>
      <w:r w:rsidR="007941DC">
        <w:rPr>
          <w:lang w:val="en-US"/>
        </w:rPr>
        <w:t>s</w:t>
      </w:r>
      <w:r w:rsidR="00A37F7E">
        <w:rPr>
          <w:lang w:val="en-US"/>
        </w:rPr>
        <w:t xml:space="preserve"> </w:t>
      </w:r>
      <w:r w:rsidR="00CA1955">
        <w:rPr>
          <w:lang w:val="en-US"/>
        </w:rPr>
        <w:t>during periods of low</w:t>
      </w:r>
      <w:r w:rsidR="007941DC">
        <w:rPr>
          <w:lang w:val="en-US"/>
        </w:rPr>
        <w:t>er</w:t>
      </w:r>
      <w:r w:rsidR="00CA1955">
        <w:rPr>
          <w:lang w:val="en-US"/>
        </w:rPr>
        <w:t xml:space="preserve"> reserve</w:t>
      </w:r>
      <w:r w:rsidR="007941DC">
        <w:rPr>
          <w:lang w:val="en-US"/>
        </w:rPr>
        <w:t>s”</w:t>
      </w:r>
      <w:r w:rsidR="006E47BE">
        <w:rPr>
          <w:lang w:val="en-US"/>
        </w:rPr>
        <w:t xml:space="preserve"> </w:t>
      </w:r>
      <w:r w:rsidR="00835FEB">
        <w:rPr>
          <w:lang w:val="en-US"/>
        </w:rPr>
        <w:t>r</w:t>
      </w:r>
      <w:r w:rsidR="006E47BE">
        <w:rPr>
          <w:lang w:val="en-US"/>
        </w:rPr>
        <w:t>elative to</w:t>
      </w:r>
      <w:r w:rsidR="00835FEB">
        <w:rPr>
          <w:lang w:val="en-US"/>
        </w:rPr>
        <w:t xml:space="preserve"> previous ORDC policies.</w:t>
      </w:r>
      <w:r w:rsidR="00CA1955">
        <w:rPr>
          <w:rStyle w:val="FootnoteReference"/>
          <w:lang w:val="en-US"/>
        </w:rPr>
        <w:footnoteReference w:id="21"/>
      </w:r>
      <w:r w:rsidR="00CA1955">
        <w:rPr>
          <w:lang w:val="en-US"/>
        </w:rPr>
        <w:t xml:space="preserve"> </w:t>
      </w:r>
    </w:p>
    <w:p w14:paraId="09E5DE8E" w14:textId="4E9EC1AE" w:rsidR="0062311A" w:rsidRDefault="007734AE" w:rsidP="005873C1">
      <w:pPr>
        <w:pStyle w:val="ListParagraph"/>
        <w:spacing w:after="0"/>
        <w:rPr>
          <w:lang w:val="en-US"/>
        </w:rPr>
      </w:pPr>
      <w:r>
        <w:rPr>
          <w:lang w:val="en-US"/>
        </w:rPr>
        <w:lastRenderedPageBreak/>
        <w:t>If the</w:t>
      </w:r>
      <w:r w:rsidR="009E3EBB">
        <w:rPr>
          <w:lang w:val="en-US"/>
        </w:rPr>
        <w:t xml:space="preserve"> new ORDC better addresses</w:t>
      </w:r>
      <w:r w:rsidR="00A02D3C">
        <w:rPr>
          <w:lang w:val="en-US"/>
        </w:rPr>
        <w:t xml:space="preserve"> the </w:t>
      </w:r>
      <w:r w:rsidR="004B7B8E">
        <w:rPr>
          <w:lang w:val="en-US"/>
        </w:rPr>
        <w:t>missing money problem,</w:t>
      </w:r>
      <w:r w:rsidR="00293CBC">
        <w:rPr>
          <w:lang w:val="en-US"/>
        </w:rPr>
        <w:t xml:space="preserve"> </w:t>
      </w:r>
      <w:r w:rsidR="00200BEB">
        <w:rPr>
          <w:lang w:val="en-US"/>
        </w:rPr>
        <w:t xml:space="preserve">ERCOT </w:t>
      </w:r>
      <w:r w:rsidR="000430FD">
        <w:rPr>
          <w:lang w:val="en-US"/>
        </w:rPr>
        <w:t>may not have</w:t>
      </w:r>
      <w:r w:rsidR="00200BEB">
        <w:rPr>
          <w:lang w:val="en-US"/>
        </w:rPr>
        <w:t xml:space="preserve"> </w:t>
      </w:r>
      <w:r w:rsidR="00A743F5">
        <w:rPr>
          <w:lang w:val="en-US"/>
        </w:rPr>
        <w:t>a</w:t>
      </w:r>
      <w:r w:rsidR="00200BEB">
        <w:rPr>
          <w:lang w:val="en-US"/>
        </w:rPr>
        <w:t xml:space="preserve"> resource adequacy </w:t>
      </w:r>
      <w:r w:rsidR="00C3791C">
        <w:rPr>
          <w:lang w:val="en-US"/>
        </w:rPr>
        <w:t>problem</w:t>
      </w:r>
      <w:r w:rsidR="00200BEB">
        <w:rPr>
          <w:lang w:val="en-US"/>
        </w:rPr>
        <w:t xml:space="preserve"> moving forward</w:t>
      </w:r>
      <w:r w:rsidR="008A23FC">
        <w:rPr>
          <w:lang w:val="en-US"/>
        </w:rPr>
        <w:t>.</w:t>
      </w:r>
      <w:r w:rsidR="00200BEB">
        <w:rPr>
          <w:lang w:val="en-US"/>
        </w:rPr>
        <w:t xml:space="preserve"> </w:t>
      </w:r>
      <w:r w:rsidR="008A23FC">
        <w:rPr>
          <w:lang w:val="en-US"/>
        </w:rPr>
        <w:t xml:space="preserve">If so, </w:t>
      </w:r>
      <w:r w:rsidR="007A0AA3">
        <w:rPr>
          <w:lang w:val="en-US"/>
        </w:rPr>
        <w:t xml:space="preserve">there </w:t>
      </w:r>
      <w:r w:rsidR="008A23FC">
        <w:rPr>
          <w:lang w:val="en-US"/>
        </w:rPr>
        <w:t>would</w:t>
      </w:r>
      <w:r w:rsidR="007A0AA3">
        <w:rPr>
          <w:lang w:val="en-US"/>
        </w:rPr>
        <w:t xml:space="preserve"> </w:t>
      </w:r>
      <w:r w:rsidR="000430FD">
        <w:rPr>
          <w:lang w:val="en-US"/>
        </w:rPr>
        <w:t xml:space="preserve">be </w:t>
      </w:r>
      <w:r w:rsidR="007A0AA3">
        <w:rPr>
          <w:lang w:val="en-US"/>
        </w:rPr>
        <w:t>no</w:t>
      </w:r>
      <w:r w:rsidR="00200BEB">
        <w:rPr>
          <w:lang w:val="en-US"/>
        </w:rPr>
        <w:t xml:space="preserve"> need for a</w:t>
      </w:r>
      <w:r w:rsidR="00A708AC">
        <w:rPr>
          <w:lang w:val="en-US"/>
        </w:rPr>
        <w:t xml:space="preserve"> </w:t>
      </w:r>
      <w:r w:rsidR="000430FD">
        <w:rPr>
          <w:lang w:val="en-US"/>
        </w:rPr>
        <w:t xml:space="preserve">second </w:t>
      </w:r>
      <w:r w:rsidR="00A708AC">
        <w:rPr>
          <w:lang w:val="en-US"/>
        </w:rPr>
        <w:t xml:space="preserve">reliability mechanism </w:t>
      </w:r>
      <w:r w:rsidR="000430FD">
        <w:rPr>
          <w:lang w:val="en-US"/>
        </w:rPr>
        <w:t xml:space="preserve">(in addition to the ORDC) </w:t>
      </w:r>
      <w:r w:rsidR="00A708AC">
        <w:rPr>
          <w:lang w:val="en-US"/>
        </w:rPr>
        <w:t xml:space="preserve">to address resource adequacy. </w:t>
      </w:r>
      <w:r w:rsidR="00C63AFC">
        <w:rPr>
          <w:lang w:val="en-US"/>
        </w:rPr>
        <w:t>But if</w:t>
      </w:r>
      <w:r w:rsidR="00B63BC2">
        <w:rPr>
          <w:lang w:val="en-US"/>
        </w:rPr>
        <w:t xml:space="preserve"> the </w:t>
      </w:r>
      <w:r w:rsidR="00923EAA">
        <w:rPr>
          <w:lang w:val="en-US"/>
        </w:rPr>
        <w:t xml:space="preserve">recent changes </w:t>
      </w:r>
      <w:r w:rsidR="006614F2">
        <w:rPr>
          <w:lang w:val="en-US"/>
        </w:rPr>
        <w:t xml:space="preserve">on net do not sufficiently solve </w:t>
      </w:r>
      <w:r w:rsidR="004A6FE1">
        <w:rPr>
          <w:lang w:val="en-US"/>
        </w:rPr>
        <w:t>the</w:t>
      </w:r>
      <w:r w:rsidR="00B63BC2">
        <w:rPr>
          <w:lang w:val="en-US"/>
        </w:rPr>
        <w:t xml:space="preserve"> </w:t>
      </w:r>
      <w:r w:rsidR="00CA7AC7">
        <w:rPr>
          <w:lang w:val="en-US"/>
        </w:rPr>
        <w:t xml:space="preserve">missing money problem, then </w:t>
      </w:r>
      <w:r w:rsidR="001D5847">
        <w:rPr>
          <w:lang w:val="en-US"/>
        </w:rPr>
        <w:t xml:space="preserve">an additional reliability mechanism may be justified. </w:t>
      </w:r>
    </w:p>
    <w:p w14:paraId="6B146AC8" w14:textId="2CD288FC" w:rsidR="004E5E58" w:rsidRDefault="001E6FA6" w:rsidP="004642D5">
      <w:pPr>
        <w:pStyle w:val="ListParagraph"/>
        <w:spacing w:after="0"/>
      </w:pPr>
      <w:r>
        <w:t>But t</w:t>
      </w:r>
      <w:r w:rsidR="0062311A">
        <w:t xml:space="preserve">he existing record does not sufficiently show </w:t>
      </w:r>
      <w:r w:rsidR="0006088A">
        <w:t xml:space="preserve">that </w:t>
      </w:r>
      <w:r w:rsidR="0062311A">
        <w:t xml:space="preserve">ERCOT has a </w:t>
      </w:r>
      <w:r w:rsidR="00F4784B">
        <w:t xml:space="preserve">resource adequacy </w:t>
      </w:r>
      <w:r w:rsidR="0062311A">
        <w:t>problem. T</w:t>
      </w:r>
      <w:r w:rsidR="00725163">
        <w:t xml:space="preserve">he E3 </w:t>
      </w:r>
      <w:r w:rsidR="00F97A67">
        <w:t>R</w:t>
      </w:r>
      <w:r w:rsidR="00725163">
        <w:t xml:space="preserve">eport </w:t>
      </w:r>
      <w:r w:rsidR="00754F71">
        <w:t xml:space="preserve">sought </w:t>
      </w:r>
      <w:r w:rsidR="001027DB">
        <w:t xml:space="preserve">in part </w:t>
      </w:r>
      <w:r w:rsidR="00754F71">
        <w:t xml:space="preserve">to address </w:t>
      </w:r>
      <w:r w:rsidR="00B85FF2">
        <w:t>the resource adequacy</w:t>
      </w:r>
      <w:r w:rsidR="00754F71">
        <w:t xml:space="preserve"> question</w:t>
      </w:r>
      <w:r w:rsidR="001027DB">
        <w:t xml:space="preserve"> by </w:t>
      </w:r>
      <w:r w:rsidR="00AD4BF5">
        <w:t xml:space="preserve">modeling </w:t>
      </w:r>
      <w:r w:rsidR="00F452F6">
        <w:t xml:space="preserve">the exit and entrance of generation resources </w:t>
      </w:r>
      <w:r w:rsidR="00B74415">
        <w:t xml:space="preserve">in light of </w:t>
      </w:r>
      <w:r w:rsidR="00751F67">
        <w:t>the recent changes to the ORDC and other reforms.</w:t>
      </w:r>
      <w:r w:rsidR="007420B5">
        <w:rPr>
          <w:rStyle w:val="FootnoteReference"/>
        </w:rPr>
        <w:footnoteReference w:id="22"/>
      </w:r>
      <w:r w:rsidR="00751F67">
        <w:t xml:space="preserve"> </w:t>
      </w:r>
      <w:r w:rsidR="00F97A67">
        <w:t xml:space="preserve">It concluded that </w:t>
      </w:r>
      <w:r w:rsidR="00773C37">
        <w:t>ERCOT would have a resource adequacy problem in 2026.</w:t>
      </w:r>
      <w:r w:rsidR="00773C37">
        <w:rPr>
          <w:rStyle w:val="FootnoteReference"/>
        </w:rPr>
        <w:footnoteReference w:id="23"/>
      </w:r>
      <w:r w:rsidR="00773C37">
        <w:t xml:space="preserve"> </w:t>
      </w:r>
      <w:r w:rsidR="00FE1852">
        <w:t xml:space="preserve">However, the E3 Report’s analysis of this issue </w:t>
      </w:r>
      <w:r w:rsidR="007204D7">
        <w:t xml:space="preserve">is </w:t>
      </w:r>
      <w:r w:rsidR="003D09BE">
        <w:t>not sufficiently comprehensive to support any structural reforms</w:t>
      </w:r>
      <w:r w:rsidR="008B2E92">
        <w:t xml:space="preserve">. </w:t>
      </w:r>
    </w:p>
    <w:p w14:paraId="07AC2C21" w14:textId="7CAA6DA5" w:rsidR="00FE4FEF" w:rsidRDefault="006A386B" w:rsidP="004642D5">
      <w:pPr>
        <w:pStyle w:val="ListParagraph"/>
        <w:spacing w:after="0"/>
      </w:pPr>
      <w:r>
        <w:t xml:space="preserve">For </w:t>
      </w:r>
      <w:r w:rsidR="004A34DE">
        <w:t>example</w:t>
      </w:r>
      <w:r w:rsidR="00D347D4">
        <w:t xml:space="preserve">, </w:t>
      </w:r>
      <w:r w:rsidR="004A34DE">
        <w:t xml:space="preserve">E3’s modeling </w:t>
      </w:r>
      <w:r w:rsidR="001A036B">
        <w:t xml:space="preserve">fails to take into account the </w:t>
      </w:r>
      <w:r w:rsidR="00FD0AB5">
        <w:t>full</w:t>
      </w:r>
      <w:r w:rsidR="001A036B">
        <w:t xml:space="preserve"> universe of generation technologies that could be added to the system</w:t>
      </w:r>
      <w:r w:rsidR="00B87435">
        <w:t xml:space="preserve"> to meet reliability standards</w:t>
      </w:r>
      <w:r w:rsidR="001A036B">
        <w:t>. Instead,</w:t>
      </w:r>
      <w:r w:rsidR="003E1032" w:rsidDel="0006088A">
        <w:t xml:space="preserve"> </w:t>
      </w:r>
      <w:r w:rsidR="0006088A">
        <w:t>E3’s</w:t>
      </w:r>
      <w:r w:rsidR="003E1032">
        <w:t xml:space="preserve"> modeling approach </w:t>
      </w:r>
      <w:r w:rsidR="0023431A">
        <w:t xml:space="preserve">assumes that </w:t>
      </w:r>
      <w:r w:rsidR="003B6045">
        <w:t>a single technology, combustion turbine</w:t>
      </w:r>
      <w:r w:rsidR="006679C0">
        <w:t xml:space="preserve">s, </w:t>
      </w:r>
      <w:r w:rsidR="0081711F">
        <w:t>is</w:t>
      </w:r>
      <w:r w:rsidR="006679C0">
        <w:t xml:space="preserve"> added to the system</w:t>
      </w:r>
      <w:r w:rsidR="001A036B" w:rsidDel="003208E7">
        <w:t xml:space="preserve"> </w:t>
      </w:r>
      <w:r w:rsidR="003025FC">
        <w:t>until reliability is achieved.</w:t>
      </w:r>
      <w:r w:rsidR="003025FC" w:rsidRPr="0044434C">
        <w:rPr>
          <w:rStyle w:val="FootnoteReference"/>
        </w:rPr>
        <w:footnoteReference w:id="24"/>
      </w:r>
      <w:r w:rsidR="001A036B" w:rsidRPr="0044434C" w:rsidDel="003208E7">
        <w:t xml:space="preserve"> </w:t>
      </w:r>
      <w:r w:rsidR="006B1518" w:rsidRPr="0024757A">
        <w:t>In addition</w:t>
      </w:r>
      <w:r w:rsidR="008B2F15" w:rsidRPr="0024757A">
        <w:t xml:space="preserve">, the E3 Report focuses on the single “snapshot” year </w:t>
      </w:r>
      <w:r w:rsidR="00F600A4">
        <w:t xml:space="preserve">of </w:t>
      </w:r>
      <w:r w:rsidR="008B2F15" w:rsidRPr="0024757A">
        <w:t>2026.</w:t>
      </w:r>
      <w:r w:rsidR="008B2F15" w:rsidRPr="0024757A">
        <w:rPr>
          <w:rStyle w:val="FootnoteReference"/>
        </w:rPr>
        <w:footnoteReference w:id="25"/>
      </w:r>
      <w:r w:rsidR="008B2F15" w:rsidRPr="0024757A">
        <w:t xml:space="preserve"> Investors in generation resources plan over decades-long time horizons, and the incentives put into place by a market design would therefore have implications for how the electricity system would evolve well beyond 2026. E3 recognizes that the market designs it </w:t>
      </w:r>
      <w:r w:rsidR="008B2F15" w:rsidRPr="0024757A">
        <w:lastRenderedPageBreak/>
        <w:t xml:space="preserve">analyzes may not </w:t>
      </w:r>
      <w:r w:rsidR="0006088A">
        <w:t xml:space="preserve">even </w:t>
      </w:r>
      <w:r w:rsidR="008B2F15" w:rsidRPr="0024757A">
        <w:t>be implemented until 2026</w:t>
      </w:r>
      <w:r w:rsidR="0039141C">
        <w:t>,</w:t>
      </w:r>
      <w:r w:rsidR="008B2F15" w:rsidRPr="0024757A">
        <w:rPr>
          <w:rStyle w:val="FootnoteReference"/>
        </w:rPr>
        <w:footnoteReference w:id="26"/>
      </w:r>
      <w:r w:rsidR="008B2F15" w:rsidRPr="0024757A">
        <w:t xml:space="preserve"> </w:t>
      </w:r>
      <w:r w:rsidR="00D76B7C" w:rsidRPr="00D76B7C">
        <w:t xml:space="preserve">thus, an assessment of </w:t>
      </w:r>
      <w:r w:rsidR="00FC35A4">
        <w:t>reliab</w:t>
      </w:r>
      <w:r w:rsidR="0023516A">
        <w:t>i</w:t>
      </w:r>
      <w:r w:rsidR="00FC35A4">
        <w:t xml:space="preserve">lity pertaining </w:t>
      </w:r>
      <w:r w:rsidR="00D76B7C" w:rsidRPr="00D76B7C">
        <w:t xml:space="preserve">only </w:t>
      </w:r>
      <w:r w:rsidR="00FC35A4">
        <w:t xml:space="preserve">to </w:t>
      </w:r>
      <w:r w:rsidR="00D76B7C" w:rsidRPr="00D76B7C">
        <w:t>that year tells the PUCT little about the long-term need for—and consequences of—a new reliability mechanism</w:t>
      </w:r>
      <w:r w:rsidR="008B2F15" w:rsidRPr="0024757A">
        <w:t>.</w:t>
      </w:r>
      <w:r w:rsidR="000778A6">
        <w:t xml:space="preserve"> </w:t>
      </w:r>
      <w:r w:rsidR="00ED0947">
        <w:t xml:space="preserve">Other parties who have submitted comments in this proceeding have identified further methodological </w:t>
      </w:r>
      <w:r w:rsidR="0024237A">
        <w:t>issues associated with the E3 Report</w:t>
      </w:r>
      <w:r w:rsidR="0006088A">
        <w:t>,</w:t>
      </w:r>
      <w:r w:rsidR="0024237A">
        <w:t xml:space="preserve"> </w:t>
      </w:r>
      <w:r w:rsidR="00804D7C">
        <w:t xml:space="preserve">and </w:t>
      </w:r>
      <w:r w:rsidR="0024237A">
        <w:t>the PUCT</w:t>
      </w:r>
      <w:r w:rsidR="00804D7C">
        <w:t xml:space="preserve"> should consider them carefully</w:t>
      </w:r>
      <w:r w:rsidR="0024237A">
        <w:t>.</w:t>
      </w:r>
      <w:r w:rsidR="0024237A">
        <w:rPr>
          <w:rStyle w:val="FootnoteReference"/>
        </w:rPr>
        <w:footnoteReference w:id="27"/>
      </w:r>
      <w:r w:rsidR="00E26107">
        <w:t xml:space="preserve"> </w:t>
      </w:r>
    </w:p>
    <w:p w14:paraId="627276D3" w14:textId="391EBD06" w:rsidR="00DD0B45" w:rsidRPr="002F4429" w:rsidRDefault="0065637A" w:rsidP="00C23F86">
      <w:pPr>
        <w:spacing w:after="0"/>
      </w:pPr>
      <w:r>
        <w:t xml:space="preserve">The need for further analysis is especially acute because the PCM, the leading candidate among the proposed reliability mechanisms, primarily aims to address resource adequacy and would do little to address </w:t>
      </w:r>
      <w:r w:rsidR="003471D7">
        <w:t xml:space="preserve">the conceptually distinct issue of </w:t>
      </w:r>
      <w:r>
        <w:t>resilience.</w:t>
      </w:r>
      <w:r>
        <w:rPr>
          <w:rStyle w:val="FootnoteReference"/>
        </w:rPr>
        <w:footnoteReference w:id="28"/>
      </w:r>
      <w:r>
        <w:t xml:space="preserve"> </w:t>
      </w:r>
      <w:r w:rsidR="00C23F86">
        <w:t>(</w:t>
      </w:r>
      <w:r>
        <w:t>The same is true of the proposed Backstop Reliability Services and the Dispatchable Energy Credits.</w:t>
      </w:r>
      <w:r>
        <w:rPr>
          <w:rStyle w:val="FootnoteReference"/>
        </w:rPr>
        <w:footnoteReference w:id="29"/>
      </w:r>
      <w:r w:rsidR="00C23F86">
        <w:t xml:space="preserve">) </w:t>
      </w:r>
      <w:r w:rsidR="00222D57">
        <w:t>S.B.</w:t>
      </w:r>
      <w:r w:rsidR="00C9268B">
        <w:t xml:space="preserve"> </w:t>
      </w:r>
      <w:r w:rsidR="00222D57">
        <w:t>3 partially reflects</w:t>
      </w:r>
      <w:r w:rsidR="00080F22">
        <w:t xml:space="preserve"> Legislature’s concern with resilience </w:t>
      </w:r>
      <w:r w:rsidR="00222D57">
        <w:t>in the</w:t>
      </w:r>
      <w:r w:rsidR="00080F22">
        <w:t xml:space="preserve"> directive that the PUCT procure services to ensure continued operations during “extreme heat and cold weather.”</w:t>
      </w:r>
      <w:r w:rsidR="00080F22">
        <w:rPr>
          <w:rStyle w:val="FootnoteReference"/>
        </w:rPr>
        <w:footnoteReference w:id="30"/>
      </w:r>
      <w:r w:rsidR="00080F22">
        <w:t xml:space="preserve"> </w:t>
      </w:r>
      <w:r w:rsidR="00C23F86">
        <w:t>Resilience</w:t>
      </w:r>
      <w:r w:rsidR="00C23F86" w:rsidRPr="00013DCB">
        <w:t xml:space="preserve"> </w:t>
      </w:r>
      <w:r w:rsidR="00C23F86">
        <w:t>refers to</w:t>
      </w:r>
      <w:r w:rsidR="00C23F86" w:rsidRPr="00013DCB">
        <w:t xml:space="preserve"> “the ability of a system to resist, absorb and adapt, and recover after an external high-impact, low-probability shock</w:t>
      </w:r>
      <w:r w:rsidR="00C23F86">
        <w:t>,</w:t>
      </w:r>
      <w:r w:rsidR="00C23F86" w:rsidRPr="00013DCB">
        <w:t>”</w:t>
      </w:r>
      <w:r w:rsidR="00C23F86">
        <w:t xml:space="preserve"> such as Winter Storm Uri.</w:t>
      </w:r>
      <w:r w:rsidR="00C23F86">
        <w:rPr>
          <w:rStyle w:val="FootnoteReference"/>
        </w:rPr>
        <w:footnoteReference w:id="31"/>
      </w:r>
      <w:r w:rsidR="00C23F86">
        <w:t xml:space="preserve"> </w:t>
      </w:r>
      <w:r w:rsidR="00222D57">
        <w:t>Yet, w</w:t>
      </w:r>
      <w:r w:rsidR="00C23F86">
        <w:t>hile resource adequacy and resilience are related, one does not guarantee the other.</w:t>
      </w:r>
      <w:r w:rsidR="00C23F86">
        <w:rPr>
          <w:rStyle w:val="FootnoteReference"/>
        </w:rPr>
        <w:footnoteReference w:id="32"/>
      </w:r>
      <w:r w:rsidR="00C23F86">
        <w:t xml:space="preserve"> Thus, it may be that ERCOT does not have a resource adequacy problem but still has a resilience problem that leaves ERCOT vulnerable during extreme weather</w:t>
      </w:r>
      <w:r w:rsidR="00D13DFF">
        <w:t xml:space="preserve"> events</w:t>
      </w:r>
      <w:r w:rsidR="00C23F86">
        <w:t xml:space="preserve">. </w:t>
      </w:r>
    </w:p>
    <w:p w14:paraId="19AEAFF3" w14:textId="77777777" w:rsidR="00530F13" w:rsidRDefault="00BB7573" w:rsidP="00530F13">
      <w:pPr>
        <w:spacing w:after="0"/>
      </w:pPr>
      <w:r>
        <w:lastRenderedPageBreak/>
        <w:t>Furthermore, many of the reforms</w:t>
      </w:r>
      <w:r w:rsidR="001276D3">
        <w:t xml:space="preserve"> already implement</w:t>
      </w:r>
      <w:r w:rsidR="004C258C">
        <w:t>ed</w:t>
      </w:r>
      <w:r w:rsidR="001276D3">
        <w:t xml:space="preserve"> since Uri—</w:t>
      </w:r>
      <w:r>
        <w:t>such as winterization and winter firm fuel service</w:t>
      </w:r>
      <w:r w:rsidR="001276D3">
        <w:t>—</w:t>
      </w:r>
      <w:r>
        <w:t xml:space="preserve">already improve both reliability and resilience. </w:t>
      </w:r>
      <w:r w:rsidR="00994451">
        <w:t xml:space="preserve">Thus, </w:t>
      </w:r>
      <w:r w:rsidR="005F0DCC">
        <w:t>in light of the recent changes to the ORDC</w:t>
      </w:r>
      <w:r>
        <w:t xml:space="preserve"> and </w:t>
      </w:r>
      <w:r w:rsidR="006673BD">
        <w:t xml:space="preserve">the PUCT’s other </w:t>
      </w:r>
      <w:r>
        <w:t xml:space="preserve">Phase I </w:t>
      </w:r>
      <w:r w:rsidR="006673BD">
        <w:t xml:space="preserve">market </w:t>
      </w:r>
      <w:r>
        <w:t>reforms</w:t>
      </w:r>
      <w:r w:rsidR="005F0DCC">
        <w:t xml:space="preserve">, more </w:t>
      </w:r>
      <w:r w:rsidR="00A26D98">
        <w:t xml:space="preserve">analysis </w:t>
      </w:r>
      <w:r w:rsidR="005F0DCC">
        <w:t xml:space="preserve">is necessary before it can be determined that </w:t>
      </w:r>
      <w:r w:rsidR="000F0FEA">
        <w:t xml:space="preserve">ERCOT has </w:t>
      </w:r>
      <w:r w:rsidR="00E51225">
        <w:t xml:space="preserve">the type of resource adequacy problem that would be addressed by the proposals in the E3 Report. </w:t>
      </w:r>
    </w:p>
    <w:p w14:paraId="21EB53D6" w14:textId="6866E838" w:rsidR="00D72A6F" w:rsidRDefault="00E51225" w:rsidP="00530F13">
      <w:pPr>
        <w:spacing w:after="0"/>
      </w:pPr>
      <w:r>
        <w:t xml:space="preserve">It may </w:t>
      </w:r>
      <w:r w:rsidR="00E54A86">
        <w:t>be</w:t>
      </w:r>
      <w:r>
        <w:t xml:space="preserve"> that ERCOT has a different type of reliability problem (i.e., a</w:t>
      </w:r>
      <w:r w:rsidR="00530F13">
        <w:t>n operational</w:t>
      </w:r>
      <w:r>
        <w:t xml:space="preserve"> security problem), or that ERCOT’s </w:t>
      </w:r>
      <w:r w:rsidR="00776437">
        <w:t>challenge</w:t>
      </w:r>
      <w:r>
        <w:t xml:space="preserve"> is primarily resilience.</w:t>
      </w:r>
      <w:r w:rsidR="009F1EE9">
        <w:t xml:space="preserve"> </w:t>
      </w:r>
      <w:r w:rsidR="002532D2">
        <w:t>Rushing into implementing an unproven market design w</w:t>
      </w:r>
      <w:r w:rsidR="0065637A">
        <w:t xml:space="preserve">ithout </w:t>
      </w:r>
      <w:r w:rsidR="002532D2">
        <w:t xml:space="preserve">understanding </w:t>
      </w:r>
      <w:r w:rsidR="00953B5F">
        <w:t xml:space="preserve">the true nature of any reliability or resilience problems that </w:t>
      </w:r>
      <w:r w:rsidR="00215603">
        <w:t>remain</w:t>
      </w:r>
      <w:r w:rsidR="00953B5F">
        <w:t xml:space="preserve"> after the recent reforms would be </w:t>
      </w:r>
      <w:r w:rsidR="002532D2">
        <w:t>unnecessarily costly</w:t>
      </w:r>
      <w:r w:rsidR="00953B5F">
        <w:t xml:space="preserve"> and would unnecessarily interfere with the relatively efficient price signals of ERCOT’s existing </w:t>
      </w:r>
      <w:r w:rsidR="00215603">
        <w:t>market</w:t>
      </w:r>
      <w:r w:rsidR="002532D2">
        <w:t xml:space="preserve">. </w:t>
      </w:r>
    </w:p>
    <w:p w14:paraId="3109A341" w14:textId="2FFCF944" w:rsidR="00F72A4F" w:rsidRPr="00F72A4F" w:rsidRDefault="005D26B0" w:rsidP="00994AF9">
      <w:pPr>
        <w:pStyle w:val="Heading1"/>
        <w:keepNext/>
        <w:spacing w:after="0"/>
      </w:pPr>
      <w:bookmarkStart w:id="7" w:name="_Toc121676390"/>
      <w:bookmarkStart w:id="8" w:name="_Toc121676500"/>
      <w:bookmarkStart w:id="9" w:name="_Toc120445436"/>
      <w:bookmarkStart w:id="10" w:name="_Toc120743900"/>
      <w:bookmarkStart w:id="11" w:name="_Toc121676501"/>
      <w:bookmarkEnd w:id="7"/>
      <w:bookmarkEnd w:id="8"/>
      <w:r>
        <w:t>A</w:t>
      </w:r>
      <w:r w:rsidR="003A7A08">
        <w:t>ny</w:t>
      </w:r>
      <w:r>
        <w:t xml:space="preserve"> New </w:t>
      </w:r>
      <w:r w:rsidR="00BB570F">
        <w:t>Reliability</w:t>
      </w:r>
      <w:r>
        <w:t xml:space="preserve"> Mechanism</w:t>
      </w:r>
      <w:r w:rsidR="004D6493">
        <w:t xml:space="preserve"> </w:t>
      </w:r>
      <w:r w:rsidR="004D6493" w:rsidRPr="003051D7">
        <w:t>Should Reflect Fundamental Economic Principles</w:t>
      </w:r>
      <w:bookmarkEnd w:id="9"/>
      <w:bookmarkEnd w:id="10"/>
      <w:bookmarkEnd w:id="11"/>
      <w:r w:rsidR="00F72A4F">
        <w:br/>
      </w:r>
    </w:p>
    <w:p w14:paraId="03D231BD" w14:textId="0F40CDC7" w:rsidR="00E702F2" w:rsidRPr="00AE5116" w:rsidRDefault="00D05B68" w:rsidP="00E702F2">
      <w:pPr>
        <w:spacing w:after="0"/>
      </w:pPr>
      <w:r>
        <w:t xml:space="preserve">The PUCT should adopt a new reliability mechanism beyond the ORDC </w:t>
      </w:r>
      <w:r w:rsidR="00A91CA4">
        <w:t xml:space="preserve">only </w:t>
      </w:r>
      <w:r w:rsidR="004D2166">
        <w:t xml:space="preserve">after it has sufficiently evaluated the reliability needs of ERCOT and </w:t>
      </w:r>
      <w:r>
        <w:t xml:space="preserve">only if doing so is necessary to </w:t>
      </w:r>
      <w:r w:rsidR="00352108">
        <w:t>achieve the forthcoming reliability standard.</w:t>
      </w:r>
      <w:r w:rsidR="004D2166">
        <w:t xml:space="preserve"> </w:t>
      </w:r>
      <w:r w:rsidR="005428D1">
        <w:t xml:space="preserve">If the PUCT does move forward with a new reliability mechanism, </w:t>
      </w:r>
      <w:r w:rsidR="007E36E6">
        <w:t>the mechanism</w:t>
      </w:r>
      <w:r w:rsidR="00664FAD">
        <w:t xml:space="preserve"> should</w:t>
      </w:r>
      <w:r w:rsidR="00A91CA4">
        <w:t>, like other components of ERCOT’s market,</w:t>
      </w:r>
      <w:r w:rsidR="00664FAD">
        <w:t xml:space="preserve"> </w:t>
      </w:r>
      <w:r w:rsidR="00B75921">
        <w:t>be designed with economic efficiency in mind</w:t>
      </w:r>
      <w:r w:rsidR="00D80B8D">
        <w:t>.</w:t>
      </w:r>
      <w:r w:rsidR="00B75921">
        <w:t xml:space="preserve"> </w:t>
      </w:r>
      <w:r w:rsidR="00E702F2">
        <w:t xml:space="preserve">Specifically, the reliability mechanism should: (1) compensate all generation resources—both dispatchable and non-dispatchable—according to their reliability values; (2) include a penalty that reflects the value of lost reliability to society; (3) mitigate uncertainty to lower the cost of investment; and (4) avoid design flaws that will allow market participants to exploit the mechanism through anticompetitive behavior. </w:t>
      </w:r>
    </w:p>
    <w:p w14:paraId="5AAFE7B0" w14:textId="2C0EDC2A" w:rsidR="00664FAD" w:rsidRDefault="00D80B8D" w:rsidP="00B1761C">
      <w:pPr>
        <w:pStyle w:val="ListParagraph"/>
        <w:spacing w:after="0"/>
      </w:pPr>
      <w:r>
        <w:t xml:space="preserve">This approach would </w:t>
      </w:r>
      <w:r w:rsidR="0030467A">
        <w:t xml:space="preserve">benefit consumers and investors by </w:t>
      </w:r>
      <w:r w:rsidR="008403C2">
        <w:t>ensuring the cost effectiveness</w:t>
      </w:r>
      <w:r w:rsidR="0030467A">
        <w:t xml:space="preserve"> </w:t>
      </w:r>
      <w:r w:rsidR="00AE44D2">
        <w:t>of any</w:t>
      </w:r>
      <w:r w:rsidR="002E38C1">
        <w:t xml:space="preserve"> reliability standard the PUCT adopt</w:t>
      </w:r>
      <w:r w:rsidR="00DD3ED9">
        <w:t>s</w:t>
      </w:r>
      <w:r w:rsidR="00866E02">
        <w:t xml:space="preserve"> </w:t>
      </w:r>
      <w:r w:rsidR="00A91CA4">
        <w:t>and, in turn,</w:t>
      </w:r>
      <w:r w:rsidR="00866E02">
        <w:t xml:space="preserve"> </w:t>
      </w:r>
      <w:r w:rsidR="006C3980">
        <w:t xml:space="preserve">would </w:t>
      </w:r>
      <w:r w:rsidR="00866E02">
        <w:t xml:space="preserve">fulfill </w:t>
      </w:r>
      <w:r w:rsidR="00A91CA4">
        <w:t xml:space="preserve">the PUCT’s </w:t>
      </w:r>
      <w:r w:rsidR="00866E02">
        <w:t xml:space="preserve">mandate to </w:t>
      </w:r>
      <w:r w:rsidR="00866E02">
        <w:lastRenderedPageBreak/>
        <w:t>“ensure . . . just and reasonable” rates.</w:t>
      </w:r>
      <w:r w:rsidR="00866E02">
        <w:rPr>
          <w:rStyle w:val="FootnoteReference"/>
        </w:rPr>
        <w:footnoteReference w:id="33"/>
      </w:r>
      <w:r w:rsidR="006B1EA4">
        <w:t xml:space="preserve"> Adherence to our recommendations would also </w:t>
      </w:r>
      <w:r w:rsidR="00A91CA4">
        <w:t>be consistent with the PUCT’s obligations to</w:t>
      </w:r>
      <w:r w:rsidR="006B1EA4">
        <w:t xml:space="preserve"> “ensure[s] appropriate </w:t>
      </w:r>
      <w:r w:rsidR="00D754EF">
        <w:t>reliability</w:t>
      </w:r>
      <w:r w:rsidR="006B1EA4">
        <w:t xml:space="preserve">” </w:t>
      </w:r>
      <w:r w:rsidR="00D754EF">
        <w:t xml:space="preserve">and </w:t>
      </w:r>
      <w:r w:rsidR="00A91CA4">
        <w:t>procure reliability services</w:t>
      </w:r>
      <w:r w:rsidR="006B1EA4">
        <w:t xml:space="preserve"> “on a competitive basis.”</w:t>
      </w:r>
      <w:r w:rsidR="00250036">
        <w:rPr>
          <w:rStyle w:val="FootnoteReference"/>
        </w:rPr>
        <w:footnoteReference w:id="34"/>
      </w:r>
      <w:r w:rsidR="006B1EA4">
        <w:t xml:space="preserve"> </w:t>
      </w:r>
    </w:p>
    <w:p w14:paraId="7A83F997" w14:textId="0BEDA192" w:rsidR="00503EB2" w:rsidRDefault="00FC4D5D" w:rsidP="00525423">
      <w:pPr>
        <w:pStyle w:val="Heading2"/>
        <w:numPr>
          <w:ilvl w:val="0"/>
          <w:numId w:val="17"/>
        </w:numPr>
        <w:spacing w:after="0"/>
      </w:pPr>
      <w:bookmarkStart w:id="12" w:name="_Toc120743901"/>
      <w:bookmarkStart w:id="13" w:name="_Toc121676502"/>
      <w:r>
        <w:t xml:space="preserve">A </w:t>
      </w:r>
      <w:r w:rsidR="00742BE7">
        <w:t>Reliability</w:t>
      </w:r>
      <w:r w:rsidR="006A7918" w:rsidRPr="003051D7">
        <w:t xml:space="preserve"> Mechanism Should Compensate All Resources According to </w:t>
      </w:r>
      <w:r w:rsidR="003E0AFD">
        <w:t xml:space="preserve">Their </w:t>
      </w:r>
      <w:r w:rsidR="006A7918" w:rsidRPr="003051D7">
        <w:t>Reliability Value</w:t>
      </w:r>
      <w:bookmarkStart w:id="14" w:name="_Toc120743902"/>
      <w:bookmarkEnd w:id="2"/>
      <w:bookmarkEnd w:id="12"/>
      <w:bookmarkEnd w:id="13"/>
      <w:r w:rsidR="00811FB9">
        <w:br/>
      </w:r>
    </w:p>
    <w:p w14:paraId="116436F0" w14:textId="6F7F0B44" w:rsidR="0047576A" w:rsidRPr="0047576A" w:rsidRDefault="006F19E2" w:rsidP="009430E8">
      <w:pPr>
        <w:spacing w:after="0"/>
      </w:pPr>
      <w:r>
        <w:t>A</w:t>
      </w:r>
      <w:r w:rsidR="00230EF5">
        <w:t>ny reliability standard</w:t>
      </w:r>
      <w:r>
        <w:t xml:space="preserve"> w</w:t>
      </w:r>
      <w:r w:rsidR="00C6080D">
        <w:t>ould</w:t>
      </w:r>
      <w:r w:rsidR="00230EF5">
        <w:t xml:space="preserve"> cost more </w:t>
      </w:r>
      <w:r w:rsidR="00DD7072">
        <w:t>if non-dispatchable</w:t>
      </w:r>
      <w:r w:rsidR="00A07842">
        <w:t xml:space="preserve"> resources</w:t>
      </w:r>
      <w:r w:rsidR="00DD7072">
        <w:t xml:space="preserve"> </w:t>
      </w:r>
      <w:r w:rsidR="0085395A">
        <w:t xml:space="preserve">were </w:t>
      </w:r>
      <w:r w:rsidR="00DD7072">
        <w:t>excluded from reliability payments</w:t>
      </w:r>
      <w:r w:rsidR="006148F9">
        <w:t xml:space="preserve">. </w:t>
      </w:r>
      <w:r w:rsidR="00D11AB2">
        <w:t xml:space="preserve">Thus, implementing the PCM (or any other reliability mechanism) </w:t>
      </w:r>
      <w:r w:rsidR="00440262">
        <w:t xml:space="preserve">in a </w:t>
      </w:r>
      <w:r w:rsidR="008F39D6">
        <w:t xml:space="preserve">manner </w:t>
      </w:r>
      <w:r w:rsidR="00440262">
        <w:t xml:space="preserve">that excludes non-dispatchable </w:t>
      </w:r>
      <w:r w:rsidR="00A07842">
        <w:t xml:space="preserve">resources </w:t>
      </w:r>
      <w:r w:rsidR="0067544A">
        <w:t xml:space="preserve">would force consumers to overpay for </w:t>
      </w:r>
      <w:r w:rsidR="00F645EC">
        <w:t>reliability</w:t>
      </w:r>
      <w:r w:rsidR="00DE7D4D">
        <w:t xml:space="preserve">. </w:t>
      </w:r>
      <w:r w:rsidR="000B71A1">
        <w:t>But some</w:t>
      </w:r>
      <w:r w:rsidR="00184058">
        <w:t xml:space="preserve"> d</w:t>
      </w:r>
      <w:r w:rsidR="00FE10DC">
        <w:t>esign proposals</w:t>
      </w:r>
      <w:r w:rsidR="00AD3878">
        <w:t xml:space="preserve"> discussed in the E3 </w:t>
      </w:r>
      <w:r w:rsidR="00532B27">
        <w:t>R</w:t>
      </w:r>
      <w:r w:rsidR="00AD3878">
        <w:t>eport and propounded by Commissioners</w:t>
      </w:r>
      <w:r w:rsidR="00FE10DC">
        <w:t xml:space="preserve"> preclude non-dispatchable resources from being compensated for the reliability they provide</w:t>
      </w:r>
      <w:r>
        <w:t xml:space="preserve"> and thus</w:t>
      </w:r>
      <w:r w:rsidR="00FE10DC">
        <w:t xml:space="preserve"> </w:t>
      </w:r>
      <w:r w:rsidR="002C47BF">
        <w:t>ignore these economic fundamentals.</w:t>
      </w:r>
      <w:r w:rsidR="00DE7D4D">
        <w:t xml:space="preserve"> </w:t>
      </w:r>
      <w:r w:rsidR="005E4E24" w:rsidRPr="005E4E24">
        <w:t>But it is possible to appropriately account for the reliability value of non-dispatchable resources in many of the mechanisms that are considered in the E3 report.</w:t>
      </w:r>
      <w:r w:rsidR="00693057">
        <w:t xml:space="preserve"> And,</w:t>
      </w:r>
      <w:r w:rsidR="00A511E1">
        <w:t xml:space="preserve"> </w:t>
      </w:r>
      <w:r w:rsidR="00693057">
        <w:t>b</w:t>
      </w:r>
      <w:r w:rsidR="00C67A4B">
        <w:t>ecause compensating non-dispatchable resources in accordance with their reliability value would allow the PUCT to achieve a reliability standard at the least cost, adopting this recommendation would accord with the PUCT’s responsibility to ensure just and reasonable rates.</w:t>
      </w:r>
      <w:r w:rsidR="00BE0F76">
        <w:rPr>
          <w:rStyle w:val="FootnoteReference"/>
        </w:rPr>
        <w:footnoteReference w:id="35"/>
      </w:r>
    </w:p>
    <w:p w14:paraId="42B444B5" w14:textId="68510763" w:rsidR="002472E7" w:rsidRDefault="002472E7" w:rsidP="004E02AD">
      <w:pPr>
        <w:pStyle w:val="Heading3"/>
      </w:pPr>
      <w:bookmarkStart w:id="15" w:name="_Toc121676503"/>
      <w:r>
        <w:t>Both Dispatchable and Non-Dispatchable Technologies Contribute to Reliability</w:t>
      </w:r>
      <w:bookmarkEnd w:id="15"/>
      <w:r w:rsidR="009268EB">
        <w:t xml:space="preserve"> and Should Be Compensated Accordingly</w:t>
      </w:r>
      <w:r w:rsidR="00811FB9">
        <w:br/>
      </w:r>
    </w:p>
    <w:p w14:paraId="0CFCCB42" w14:textId="3C1B93EC" w:rsidR="00FB7471" w:rsidRDefault="002472E7" w:rsidP="00BC5F1F">
      <w:pPr>
        <w:keepNext/>
        <w:spacing w:after="0"/>
        <w:ind w:firstLine="0"/>
      </w:pPr>
      <w:r>
        <w:tab/>
      </w:r>
      <w:r w:rsidR="00166AC6">
        <w:t>Even though the amount of power they provide to the system cannot be adjusted at will, n</w:t>
      </w:r>
      <w:r w:rsidR="003121A5">
        <w:t xml:space="preserve">on-dispatchable resources </w:t>
      </w:r>
      <w:r w:rsidR="00166AC6">
        <w:t>can contribute to</w:t>
      </w:r>
      <w:r w:rsidR="003121A5">
        <w:t xml:space="preserve"> reliability </w:t>
      </w:r>
      <w:r w:rsidR="00166AC6">
        <w:t>by</w:t>
      </w:r>
      <w:r w:rsidR="00AB0967">
        <w:t xml:space="preserve"> </w:t>
      </w:r>
      <w:r w:rsidR="00166AC6">
        <w:t>providing</w:t>
      </w:r>
      <w:r w:rsidR="00412881">
        <w:t xml:space="preserve"> energy during the highest</w:t>
      </w:r>
      <w:r w:rsidR="00166AC6">
        <w:t>-</w:t>
      </w:r>
      <w:r w:rsidR="00412881">
        <w:t>risk hours for the grid.</w:t>
      </w:r>
      <w:r w:rsidR="00BB3C5D">
        <w:rPr>
          <w:rStyle w:val="FootnoteReference"/>
        </w:rPr>
        <w:footnoteReference w:id="36"/>
      </w:r>
      <w:r w:rsidR="00412881">
        <w:t xml:space="preserve"> </w:t>
      </w:r>
      <w:r w:rsidR="0065068F">
        <w:t xml:space="preserve">ERCOT already recognizes that non-dispatchable resources have </w:t>
      </w:r>
      <w:r w:rsidR="0065068F">
        <w:lastRenderedPageBreak/>
        <w:t>reliability value</w:t>
      </w:r>
      <w:r w:rsidR="00CC34B1">
        <w:t>: T</w:t>
      </w:r>
      <w:r w:rsidR="0065068F">
        <w:t>he ORDC compensates both dispatchable and non-dispatchable resources during scarcity</w:t>
      </w:r>
      <w:r w:rsidR="00960815">
        <w:t xml:space="preserve">, and in proportion to the </w:t>
      </w:r>
      <w:r w:rsidR="00575445">
        <w:t xml:space="preserve">reliability value </w:t>
      </w:r>
      <w:r w:rsidR="00996DC2">
        <w:t xml:space="preserve">that </w:t>
      </w:r>
      <w:r w:rsidR="00575445">
        <w:t>they provide</w:t>
      </w:r>
      <w:r w:rsidR="0065068F">
        <w:t>.</w:t>
      </w:r>
      <w:r w:rsidR="0065068F">
        <w:rPr>
          <w:rStyle w:val="FootnoteReference"/>
        </w:rPr>
        <w:footnoteReference w:id="37"/>
      </w:r>
      <w:r w:rsidR="000610FB">
        <w:t xml:space="preserve"> It is also well established that an efficient generation mix—one which meets reliability criteria at least cost—</w:t>
      </w:r>
      <w:r w:rsidR="00F25648">
        <w:t>typically</w:t>
      </w:r>
      <w:r w:rsidR="00557087">
        <w:t xml:space="preserve"> include</w:t>
      </w:r>
      <w:r w:rsidR="00F25648">
        <w:t>s</w:t>
      </w:r>
      <w:r w:rsidR="00557087">
        <w:t xml:space="preserve"> a variety of dispatchable and non-dispatchable technologies.</w:t>
      </w:r>
      <w:r w:rsidR="00557087">
        <w:rPr>
          <w:rStyle w:val="FootnoteReference"/>
        </w:rPr>
        <w:footnoteReference w:id="38"/>
      </w:r>
    </w:p>
    <w:p w14:paraId="7DE4DCBF" w14:textId="1F76CD53" w:rsidR="006D43DB" w:rsidRDefault="00267D2D" w:rsidP="00053FCC">
      <w:pPr>
        <w:spacing w:after="0"/>
      </w:pPr>
      <w:r>
        <w:t>T</w:t>
      </w:r>
      <w:r w:rsidR="00FB7471">
        <w:t xml:space="preserve">he most </w:t>
      </w:r>
      <w:r w:rsidR="006B011E">
        <w:t>economically</w:t>
      </w:r>
      <w:r w:rsidR="00FB7471">
        <w:t xml:space="preserve"> efficient way to achieve reliability is for all generation types to be eligible for compensation for the reliability that they contribute to the system.</w:t>
      </w:r>
      <w:r w:rsidR="009F0CE2">
        <w:t xml:space="preserve"> </w:t>
      </w:r>
      <w:r w:rsidR="004F4683">
        <w:t>This result</w:t>
      </w:r>
      <w:r w:rsidR="006650EA">
        <w:t xml:space="preserve">, </w:t>
      </w:r>
      <w:r w:rsidR="00E05C7C">
        <w:t xml:space="preserve">demonstrated consistently in the economics literature, follows from the </w:t>
      </w:r>
      <w:r w:rsidR="009E43B6">
        <w:t xml:space="preserve">general </w:t>
      </w:r>
      <w:r w:rsidR="00E05C7C">
        <w:t xml:space="preserve">notion that </w:t>
      </w:r>
      <w:r w:rsidR="00B245DB">
        <w:t xml:space="preserve">efficiency is achieved when the marginal cost of adding reliability is equal to </w:t>
      </w:r>
      <w:r w:rsidR="009E43B6">
        <w:t>its</w:t>
      </w:r>
      <w:r w:rsidR="00B245DB">
        <w:t xml:space="preserve"> marginal benefit</w:t>
      </w:r>
      <w:r w:rsidR="00010468">
        <w:t xml:space="preserve">, regardless of </w:t>
      </w:r>
      <w:r w:rsidR="007E60F4">
        <w:t xml:space="preserve">its </w:t>
      </w:r>
      <w:r w:rsidR="000D15FB">
        <w:t>technology</w:t>
      </w:r>
      <w:r w:rsidR="007E60F4">
        <w:t xml:space="preserve"> type</w:t>
      </w:r>
      <w:r w:rsidR="009E43B6">
        <w:t>.</w:t>
      </w:r>
      <w:r w:rsidR="00FB7471">
        <w:rPr>
          <w:rStyle w:val="FootnoteReference"/>
        </w:rPr>
        <w:footnoteReference w:id="39"/>
      </w:r>
      <w:r w:rsidR="00600D5E">
        <w:t xml:space="preserve"> </w:t>
      </w:r>
      <w:r w:rsidR="00A7722A">
        <w:t xml:space="preserve">A market design that ignores </w:t>
      </w:r>
      <w:r w:rsidR="00FC2CBE">
        <w:t>certain types of resources despite their ability to provide reliability</w:t>
      </w:r>
      <w:r w:rsidR="006D43DB">
        <w:t xml:space="preserve"> would result</w:t>
      </w:r>
      <w:r w:rsidR="0023418F">
        <w:t xml:space="preserve"> in excessive costs</w:t>
      </w:r>
      <w:r w:rsidR="006D43DB">
        <w:t>,</w:t>
      </w:r>
      <w:r w:rsidR="0023418F">
        <w:t xml:space="preserve"> </w:t>
      </w:r>
      <w:r w:rsidR="00462558">
        <w:t>which are ultimately borne by consumers.</w:t>
      </w:r>
      <w:r w:rsidR="00E51C47">
        <w:t xml:space="preserve"> </w:t>
      </w:r>
    </w:p>
    <w:p w14:paraId="02DD6039" w14:textId="0C31A6F2" w:rsidR="00F95D96" w:rsidRDefault="00E51C47" w:rsidP="00053FCC">
      <w:pPr>
        <w:spacing w:after="0"/>
      </w:pPr>
      <w:r>
        <w:t>From an investment standpoint,</w:t>
      </w:r>
      <w:r w:rsidR="00C667A8">
        <w:t xml:space="preserve"> a narrowly</w:t>
      </w:r>
      <w:r w:rsidR="001D081F">
        <w:t xml:space="preserve"> </w:t>
      </w:r>
      <w:r w:rsidR="00C667A8">
        <w:t xml:space="preserve">focused </w:t>
      </w:r>
      <w:r w:rsidR="00293DEC">
        <w:t xml:space="preserve">reliability mechanism </w:t>
      </w:r>
      <w:r w:rsidR="00053FCC">
        <w:t xml:space="preserve">results in </w:t>
      </w:r>
      <w:r w:rsidR="006D43DB">
        <w:t xml:space="preserve">higher </w:t>
      </w:r>
      <w:r w:rsidR="00053FCC">
        <w:t xml:space="preserve">costs to </w:t>
      </w:r>
      <w:r w:rsidR="00FC2CBE">
        <w:t xml:space="preserve">consumers for two main reasons. First, if a cheaper resource is restricted from participating in the market, a more expensive resource </w:t>
      </w:r>
      <w:r w:rsidR="001D081F">
        <w:t xml:space="preserve">will </w:t>
      </w:r>
      <w:r w:rsidR="00FC2CBE">
        <w:t xml:space="preserve">be procured, increasing the </w:t>
      </w:r>
      <w:r w:rsidR="00EE16E9">
        <w:t xml:space="preserve">unit </w:t>
      </w:r>
      <w:r w:rsidR="00FC2CBE">
        <w:t xml:space="preserve">price paid for </w:t>
      </w:r>
      <w:r w:rsidR="00FA201E">
        <w:t>reliability</w:t>
      </w:r>
      <w:r w:rsidR="00FC2CBE">
        <w:t>.</w:t>
      </w:r>
      <w:r w:rsidR="00CF4908">
        <w:t xml:space="preserve"> S</w:t>
      </w:r>
      <w:r w:rsidR="00FC2CBE">
        <w:t xml:space="preserve">econd, </w:t>
      </w:r>
      <w:r w:rsidR="00E56636">
        <w:t xml:space="preserve">ignoring </w:t>
      </w:r>
      <w:r w:rsidR="00FC2CBE">
        <w:t xml:space="preserve">a portion of existing resources </w:t>
      </w:r>
      <w:r w:rsidR="00214F6F">
        <w:t>could also lead to over</w:t>
      </w:r>
      <w:r w:rsidR="00CB5514">
        <w:t>-</w:t>
      </w:r>
      <w:r w:rsidR="00214F6F">
        <w:t>procurement</w:t>
      </w:r>
      <w:r w:rsidR="003344EA">
        <w:t>—procuring more resources than are needed to satisfy reliability standards</w:t>
      </w:r>
      <w:r w:rsidR="00FC2CBE">
        <w:t>.</w:t>
      </w:r>
      <w:r w:rsidR="002E131B">
        <w:t xml:space="preserve"> </w:t>
      </w:r>
      <w:r w:rsidR="0040700D">
        <w:t xml:space="preserve">These </w:t>
      </w:r>
      <w:r w:rsidR="00E57935">
        <w:t>consequences have been observed</w:t>
      </w:r>
      <w:r w:rsidR="00F50265">
        <w:t xml:space="preserve"> in other restructured electricity mark</w:t>
      </w:r>
      <w:r w:rsidR="00534467">
        <w:t>e</w:t>
      </w:r>
      <w:r w:rsidR="00F50265">
        <w:t>ts</w:t>
      </w:r>
      <w:r w:rsidR="007104F6">
        <w:t>.</w:t>
      </w:r>
      <w:r w:rsidR="007104F6">
        <w:rPr>
          <w:rStyle w:val="FootnoteReference"/>
        </w:rPr>
        <w:footnoteReference w:id="40"/>
      </w:r>
    </w:p>
    <w:p w14:paraId="7DB1DD89" w14:textId="706E89DC" w:rsidR="007223E5" w:rsidRPr="0032608A" w:rsidRDefault="00E14BBC" w:rsidP="00053FCC">
      <w:pPr>
        <w:spacing w:after="0"/>
        <w:rPr>
          <w:highlight w:val="yellow"/>
        </w:rPr>
      </w:pPr>
      <w:r>
        <w:lastRenderedPageBreak/>
        <w:t>From a</w:t>
      </w:r>
      <w:r w:rsidR="00D95B7D">
        <w:t xml:space="preserve"> short-run</w:t>
      </w:r>
      <w:r>
        <w:t xml:space="preserve"> operational standpoint, an inefficient resource mix can result in </w:t>
      </w:r>
      <w:r w:rsidR="00345EAD">
        <w:t xml:space="preserve">excessively high energy prices. </w:t>
      </w:r>
      <w:r w:rsidR="00BD59A6">
        <w:t xml:space="preserve">Failing to appropriately compensate </w:t>
      </w:r>
      <w:r w:rsidR="0003296B">
        <w:t xml:space="preserve">renewable generators, for example, would lead to a generation mix that is disproportionately composed of </w:t>
      </w:r>
      <w:r w:rsidR="004E7BFD">
        <w:t>thermal units that have relatively high marginal costs</w:t>
      </w:r>
      <w:r w:rsidR="00830B0E">
        <w:t>.</w:t>
      </w:r>
      <w:r w:rsidR="004E7BFD">
        <w:t xml:space="preserve"> </w:t>
      </w:r>
      <w:r w:rsidR="00830B0E">
        <w:t>D</w:t>
      </w:r>
      <w:r w:rsidR="00B40527">
        <w:t>ispatching</w:t>
      </w:r>
      <w:r w:rsidR="004E7BFD">
        <w:t xml:space="preserve"> these units more </w:t>
      </w:r>
      <w:r w:rsidR="00B40527">
        <w:t>frequently</w:t>
      </w:r>
      <w:r w:rsidR="00EF5979">
        <w:t xml:space="preserve"> </w:t>
      </w:r>
      <w:r w:rsidR="00830B0E">
        <w:t xml:space="preserve">would lead </w:t>
      </w:r>
      <w:r w:rsidR="00EF5979">
        <w:t xml:space="preserve">to higher </w:t>
      </w:r>
      <w:r w:rsidR="00CE4E17">
        <w:t xml:space="preserve">aggregate </w:t>
      </w:r>
      <w:r w:rsidR="00EF5979">
        <w:t>energy costs.</w:t>
      </w:r>
      <w:r w:rsidR="00524B7B">
        <w:t xml:space="preserve"> </w:t>
      </w:r>
      <w:r w:rsidR="00524B7B" w:rsidRPr="0010158D">
        <w:t xml:space="preserve">Indeed, the E3 Report </w:t>
      </w:r>
      <w:r w:rsidR="00CE4E17">
        <w:t>acknowledges as much</w:t>
      </w:r>
      <w:r w:rsidR="00524B7B" w:rsidRPr="0010158D">
        <w:t>,</w:t>
      </w:r>
      <w:r w:rsidR="0097451D">
        <w:t xml:space="preserve"> </w:t>
      </w:r>
      <w:r w:rsidR="00CE4E17">
        <w:t>warning that</w:t>
      </w:r>
      <w:r w:rsidR="00CE4E17" w:rsidRPr="0010158D">
        <w:t xml:space="preserve"> </w:t>
      </w:r>
      <w:r w:rsidR="00524B7B" w:rsidRPr="0010158D">
        <w:t>“in the long-run</w:t>
      </w:r>
      <w:r w:rsidR="00CE4E17">
        <w:t>,” reduced compensation for non-dispatchable resources “</w:t>
      </w:r>
      <w:r w:rsidR="00524B7B" w:rsidRPr="0010158D">
        <w:t>could result in smaller wind and solar buildout (relative to the counterfactual), which would have the effect of increasing energy prices.”</w:t>
      </w:r>
      <w:r w:rsidR="00524B7B" w:rsidRPr="0010158D">
        <w:rPr>
          <w:rStyle w:val="FootnoteReference"/>
        </w:rPr>
        <w:footnoteReference w:id="41"/>
      </w:r>
      <w:r w:rsidR="00524B7B" w:rsidRPr="0010158D">
        <w:t xml:space="preserve"> </w:t>
      </w:r>
    </w:p>
    <w:p w14:paraId="7257DEA0" w14:textId="3142B691" w:rsidR="00E913EB" w:rsidRDefault="00FB34AB" w:rsidP="004E02AD">
      <w:pPr>
        <w:pStyle w:val="Heading3"/>
      </w:pPr>
      <w:r>
        <w:t xml:space="preserve">The PUCT Should </w:t>
      </w:r>
      <w:r w:rsidR="00E913EB">
        <w:t xml:space="preserve">Ensure that Non-Dispatchable Resources </w:t>
      </w:r>
      <w:r w:rsidR="004B7B98">
        <w:t>A</w:t>
      </w:r>
      <w:r w:rsidR="00E913EB">
        <w:t xml:space="preserve">re Eligible for Payments </w:t>
      </w:r>
      <w:r w:rsidR="00686057">
        <w:t>U</w:t>
      </w:r>
      <w:r w:rsidR="00710FAB">
        <w:t>nder</w:t>
      </w:r>
      <w:r w:rsidR="004B7B98">
        <w:t xml:space="preserve"> </w:t>
      </w:r>
      <w:r w:rsidR="00E913EB">
        <w:t>Any New Reliability Mechanism</w:t>
      </w:r>
    </w:p>
    <w:p w14:paraId="49CC601D" w14:textId="1DB3702F" w:rsidR="00DE0307" w:rsidRPr="00786710" w:rsidRDefault="00DE0307" w:rsidP="00B1761C">
      <w:pPr>
        <w:spacing w:after="100" w:afterAutospacing="1" w:line="240" w:lineRule="auto"/>
      </w:pPr>
    </w:p>
    <w:p w14:paraId="7BC3D33F" w14:textId="79BE1FB5" w:rsidR="0075240E" w:rsidRDefault="009725B1" w:rsidP="0075240E">
      <w:pPr>
        <w:spacing w:after="0"/>
      </w:pPr>
      <w:r>
        <w:t xml:space="preserve">Contrary to fundamental economic principles, </w:t>
      </w:r>
      <w:r w:rsidR="00CC34B1">
        <w:t>some</w:t>
      </w:r>
      <w:r>
        <w:t xml:space="preserve"> Commissioners </w:t>
      </w:r>
      <w:r w:rsidR="00AC430B">
        <w:t xml:space="preserve">have expressed interest in a </w:t>
      </w:r>
      <w:r w:rsidR="00B02D5D">
        <w:t xml:space="preserve">reliability </w:t>
      </w:r>
      <w:r w:rsidR="00AF2BEE">
        <w:t xml:space="preserve">mechanism that is </w:t>
      </w:r>
      <w:r w:rsidR="00AC430B">
        <w:t xml:space="preserve">narrowly </w:t>
      </w:r>
      <w:r w:rsidR="00AF2BEE">
        <w:t>focused on dispatchable technologies.</w:t>
      </w:r>
      <w:r w:rsidR="00B02D5D">
        <w:t xml:space="preserve"> </w:t>
      </w:r>
      <w:r w:rsidR="00C95CDD">
        <w:t>For example, in</w:t>
      </w:r>
      <w:r w:rsidR="00C95CDD" w:rsidRPr="00C82F90">
        <w:t xml:space="preserve"> public testimony, PUCT Chairman Lake indicated his support for restricting the PCM to dispatchable resources.</w:t>
      </w:r>
      <w:r w:rsidR="00C95CDD">
        <w:rPr>
          <w:rStyle w:val="FootnoteReference"/>
        </w:rPr>
        <w:footnoteReference w:id="42"/>
      </w:r>
      <w:r w:rsidR="00C95CDD">
        <w:t xml:space="preserve"> </w:t>
      </w:r>
      <w:r w:rsidR="0075240E">
        <w:t xml:space="preserve">The E3 Report </w:t>
      </w:r>
      <w:r w:rsidR="00AF2BEE">
        <w:t>accordingly</w:t>
      </w:r>
      <w:r w:rsidR="0075240E">
        <w:t xml:space="preserve"> includes analysis of scenarios in which the PCM,</w:t>
      </w:r>
      <w:r w:rsidR="0075240E" w:rsidRPr="00FA4089">
        <w:t xml:space="preserve"> </w:t>
      </w:r>
      <w:r w:rsidR="00F76916">
        <w:t xml:space="preserve">the </w:t>
      </w:r>
      <w:r w:rsidR="0075240E" w:rsidRPr="00FA4089">
        <w:t>Load Serving Entity Reliability Obligation</w:t>
      </w:r>
      <w:r w:rsidR="0075240E">
        <w:t xml:space="preserve">, and </w:t>
      </w:r>
      <w:r w:rsidR="00F76916">
        <w:t xml:space="preserve">the </w:t>
      </w:r>
      <w:r w:rsidR="0075240E" w:rsidRPr="00B43206">
        <w:t>Forward Reliability Market</w:t>
      </w:r>
      <w:r w:rsidR="0075240E">
        <w:t xml:space="preserve"> compensate only dispatchable generation technologies.</w:t>
      </w:r>
      <w:r w:rsidR="0075240E">
        <w:rPr>
          <w:rStyle w:val="FootnoteReference"/>
        </w:rPr>
        <w:footnoteReference w:id="43"/>
      </w:r>
      <w:r w:rsidR="0075240E">
        <w:t xml:space="preserve"> Additionally, the </w:t>
      </w:r>
      <w:r w:rsidR="002A4A78">
        <w:t xml:space="preserve">Dispatchable Energy Credit </w:t>
      </w:r>
      <w:r w:rsidR="0075240E">
        <w:t>proposal would involve compensating an even narrower subset of generation technologies through strict eligibility criteria.</w:t>
      </w:r>
      <w:r w:rsidR="00C349E7">
        <w:rPr>
          <w:rStyle w:val="FootnoteReference"/>
        </w:rPr>
        <w:footnoteReference w:id="44"/>
      </w:r>
    </w:p>
    <w:p w14:paraId="1A09D951" w14:textId="119B74A0" w:rsidR="002472E7" w:rsidRDefault="001C5DAA" w:rsidP="001D7AAC">
      <w:pPr>
        <w:spacing w:after="0"/>
      </w:pPr>
      <w:r>
        <w:t xml:space="preserve">A reliability mechanism that </w:t>
      </w:r>
      <w:r w:rsidR="0005411F">
        <w:t>excludes non-</w:t>
      </w:r>
      <w:r w:rsidR="00A53BCD">
        <w:t>dispatchable</w:t>
      </w:r>
      <w:r w:rsidR="0005411F">
        <w:t xml:space="preserve"> resources</w:t>
      </w:r>
      <w:r w:rsidR="000A6037">
        <w:t xml:space="preserve"> </w:t>
      </w:r>
      <w:r w:rsidR="0005411F">
        <w:t>would</w:t>
      </w:r>
      <w:r w:rsidR="0001495E">
        <w:t xml:space="preserve"> be</w:t>
      </w:r>
      <w:r w:rsidR="002472E7">
        <w:t xml:space="preserve"> economically inefficient for the reasons discussed above</w:t>
      </w:r>
      <w:r w:rsidR="009E4BF9">
        <w:t xml:space="preserve">. </w:t>
      </w:r>
      <w:r w:rsidR="002472E7">
        <w:t xml:space="preserve">An economically inefficient design </w:t>
      </w:r>
      <w:r w:rsidR="00A53BCD">
        <w:t xml:space="preserve">would </w:t>
      </w:r>
      <w:r w:rsidR="009E4BF9">
        <w:t>mean</w:t>
      </w:r>
      <w:r w:rsidR="00B31053">
        <w:t xml:space="preserve"> that </w:t>
      </w:r>
      <w:r w:rsidR="00272852">
        <w:lastRenderedPageBreak/>
        <w:t>consumers would be overpaying for reliability, as they could have achieved the same level of reliability for less if non-dispatchable resources were also compensated for the real reliability value that they contribute</w:t>
      </w:r>
      <w:r w:rsidR="002472E7">
        <w:t>.</w:t>
      </w:r>
    </w:p>
    <w:p w14:paraId="463B202F" w14:textId="1503D5A4" w:rsidR="00EE2920" w:rsidRPr="00B1761C" w:rsidRDefault="00B54BAA" w:rsidP="007E349E">
      <w:pPr>
        <w:pStyle w:val="Heading3"/>
        <w:keepNext/>
      </w:pPr>
      <w:r w:rsidRPr="0075162B">
        <w:t>The</w:t>
      </w:r>
      <w:r w:rsidR="005B64CA" w:rsidRPr="0075162B">
        <w:t xml:space="preserve"> PUCT </w:t>
      </w:r>
      <w:r w:rsidR="00564650" w:rsidRPr="0075162B">
        <w:t xml:space="preserve">Should </w:t>
      </w:r>
      <w:r w:rsidR="005348A4" w:rsidRPr="0075162B">
        <w:t>Facilitate</w:t>
      </w:r>
      <w:r w:rsidR="005B64CA" w:rsidRPr="0075162B">
        <w:t xml:space="preserve"> </w:t>
      </w:r>
      <w:r w:rsidR="0012556F" w:rsidRPr="0075162B">
        <w:t xml:space="preserve">Technology Neutrality </w:t>
      </w:r>
      <w:r w:rsidR="00D311D1">
        <w:t>I</w:t>
      </w:r>
      <w:r w:rsidR="0037666C" w:rsidRPr="0075162B">
        <w:t xml:space="preserve">f </w:t>
      </w:r>
      <w:r w:rsidR="00A25EAB" w:rsidRPr="0075162B">
        <w:t xml:space="preserve">a Reliability Mechanism </w:t>
      </w:r>
      <w:r w:rsidR="00510EF6" w:rsidRPr="0075162B">
        <w:t>I</w:t>
      </w:r>
      <w:r w:rsidR="00CC277F" w:rsidRPr="0075162B">
        <w:t>s Adopted</w:t>
      </w:r>
    </w:p>
    <w:p w14:paraId="06E2B978" w14:textId="78352D8E" w:rsidR="002472E7" w:rsidRDefault="002472E7" w:rsidP="007E349E">
      <w:pPr>
        <w:keepNext/>
        <w:spacing w:line="240" w:lineRule="auto"/>
      </w:pPr>
    </w:p>
    <w:p w14:paraId="1F803E90" w14:textId="3F488A75" w:rsidR="00FB04D1" w:rsidRDefault="00FB04D1" w:rsidP="007E349E">
      <w:pPr>
        <w:keepNext/>
        <w:spacing w:after="0"/>
      </w:pPr>
      <w:r>
        <w:t>As we discuss in Section II, it remains unclear whether any of the</w:t>
      </w:r>
      <w:r w:rsidR="00392E57">
        <w:t xml:space="preserve"> reliability</w:t>
      </w:r>
      <w:r>
        <w:t xml:space="preserve"> mechanisms assessed in the E3 Report </w:t>
      </w:r>
      <w:r w:rsidR="00FF124C">
        <w:t>are</w:t>
      </w:r>
      <w:r>
        <w:t xml:space="preserve"> necessary</w:t>
      </w:r>
      <w:r w:rsidR="00FF124C">
        <w:t xml:space="preserve">, given the ORDC </w:t>
      </w:r>
      <w:r w:rsidR="007E349E">
        <w:t xml:space="preserve">and other </w:t>
      </w:r>
      <w:r>
        <w:t xml:space="preserve">changes that </w:t>
      </w:r>
      <w:r w:rsidR="00FF124C">
        <w:t xml:space="preserve">have already been </w:t>
      </w:r>
      <w:r>
        <w:t xml:space="preserve">implemented following Winter Storm Uri. </w:t>
      </w:r>
      <w:r w:rsidR="003E6FF5">
        <w:t>But</w:t>
      </w:r>
      <w:r>
        <w:t xml:space="preserve"> if a</w:t>
      </w:r>
      <w:r w:rsidR="00FF124C">
        <w:t>n additional</w:t>
      </w:r>
      <w:r>
        <w:t xml:space="preserve"> reliability mechanism is deemed necessary, many of the design proposals could be adopted in a way that is technology-neutral and therefore grounded in fundamental economic principles.</w:t>
      </w:r>
    </w:p>
    <w:p w14:paraId="60066890" w14:textId="2A696272" w:rsidR="00E36E6E" w:rsidRDefault="00FC0A55" w:rsidP="00FB04D1">
      <w:pPr>
        <w:spacing w:after="0"/>
      </w:pPr>
      <w:r>
        <w:t>A</w:t>
      </w:r>
      <w:r w:rsidR="00FB04D1">
        <w:t xml:space="preserve">ny mechanism that determines reliability in an </w:t>
      </w:r>
      <w:r w:rsidR="00FB04D1" w:rsidRPr="007E349E">
        <w:t xml:space="preserve">ex </w:t>
      </w:r>
      <w:r w:rsidR="00FB04D1" w:rsidRPr="007E349E">
        <w:rPr>
          <w:iCs/>
        </w:rPr>
        <w:t>post</w:t>
      </w:r>
      <w:r w:rsidR="00FB04D1">
        <w:rPr>
          <w:i/>
          <w:iCs/>
        </w:rPr>
        <w:t xml:space="preserve"> </w:t>
      </w:r>
      <w:r w:rsidR="00FB04D1">
        <w:t xml:space="preserve">manner—that is, </w:t>
      </w:r>
      <w:r w:rsidR="00FF124C">
        <w:t xml:space="preserve">by </w:t>
      </w:r>
      <w:r w:rsidR="00FB04D1">
        <w:t xml:space="preserve">compensating generation technologies based on a retrospective assessment of performance—should </w:t>
      </w:r>
      <w:r w:rsidR="00FF124C">
        <w:t>cover</w:t>
      </w:r>
      <w:r w:rsidR="00FB04D1" w:rsidDel="00BB3038">
        <w:t xml:space="preserve"> </w:t>
      </w:r>
      <w:r w:rsidR="00FB04D1">
        <w:t xml:space="preserve">both dispatchable and non-dispatchable technologies. </w:t>
      </w:r>
      <w:r w:rsidR="007E349E">
        <w:t xml:space="preserve">In other words, any resource that has performed should get paid. </w:t>
      </w:r>
      <w:r w:rsidR="00FF124C">
        <w:t>Similarly, a</w:t>
      </w:r>
      <w:r w:rsidR="00FB04D1">
        <w:t xml:space="preserve">ny mechanism that determines reliability in an </w:t>
      </w:r>
      <w:r w:rsidR="00FB04D1" w:rsidRPr="007E349E">
        <w:t>ex ante</w:t>
      </w:r>
      <w:r w:rsidR="00FB04D1">
        <w:t xml:space="preserve"> manner—compensating generation technologies based on an expectation of performance—</w:t>
      </w:r>
      <w:r w:rsidR="00231B96">
        <w:t xml:space="preserve">should </w:t>
      </w:r>
      <w:r w:rsidR="00FB04D1">
        <w:t xml:space="preserve">do so for all technologies according to </w:t>
      </w:r>
      <w:r w:rsidR="00C55DAB">
        <w:t xml:space="preserve">their </w:t>
      </w:r>
      <w:r w:rsidR="00535A42">
        <w:t xml:space="preserve">reliability value </w:t>
      </w:r>
      <w:r w:rsidR="00E70BCF">
        <w:t xml:space="preserve">as </w:t>
      </w:r>
      <w:r w:rsidR="00535A42">
        <w:t>set through an accreditation process.</w:t>
      </w:r>
      <w:r w:rsidR="00520FA0">
        <w:t xml:space="preserve"> </w:t>
      </w:r>
    </w:p>
    <w:p w14:paraId="3AA4DD14" w14:textId="3316072C" w:rsidR="002472E7" w:rsidRDefault="002472E7" w:rsidP="00FE3EFC">
      <w:pPr>
        <w:spacing w:after="0"/>
      </w:pPr>
      <w:r>
        <w:t xml:space="preserve">Ideally, </w:t>
      </w:r>
      <w:r w:rsidR="00D86485">
        <w:t>this ex ante</w:t>
      </w:r>
      <w:r w:rsidR="00F356A5">
        <w:t xml:space="preserve"> </w:t>
      </w:r>
      <w:r>
        <w:t xml:space="preserve">accreditation </w:t>
      </w:r>
      <w:r w:rsidR="0083525F">
        <w:t xml:space="preserve">would </w:t>
      </w:r>
      <w:r>
        <w:t xml:space="preserve">be precise, taking into account all sources of </w:t>
      </w:r>
      <w:r w:rsidR="00171B1A">
        <w:t xml:space="preserve">uncertainty </w:t>
      </w:r>
      <w:r>
        <w:t>that could affect a generator</w:t>
      </w:r>
      <w:r w:rsidR="005B2236">
        <w:t>’</w:t>
      </w:r>
      <w:r>
        <w:t xml:space="preserve">s capability to perform, </w:t>
      </w:r>
      <w:r w:rsidR="00205D3E">
        <w:t xml:space="preserve">including uncertainty </w:t>
      </w:r>
      <w:r w:rsidR="001752DC">
        <w:t xml:space="preserve">as to which hours will pose the </w:t>
      </w:r>
      <w:r>
        <w:t xml:space="preserve">highest </w:t>
      </w:r>
      <w:r w:rsidR="001752DC">
        <w:t xml:space="preserve">reliability </w:t>
      </w:r>
      <w:r>
        <w:t>risk throughout the year.</w:t>
      </w:r>
      <w:r w:rsidR="006A14D2">
        <w:t xml:space="preserve"> </w:t>
      </w:r>
      <w:r>
        <w:t>Wind generation resources tend to contribute more to reliability in the winter and at night; solar resources in the summer and during the day.</w:t>
      </w:r>
      <w:r>
        <w:rPr>
          <w:rStyle w:val="FootnoteReference"/>
        </w:rPr>
        <w:footnoteReference w:id="45"/>
      </w:r>
      <w:r>
        <w:t xml:space="preserve"> Demand </w:t>
      </w:r>
      <w:r w:rsidR="00D21158">
        <w:t xml:space="preserve">tends to </w:t>
      </w:r>
      <w:r w:rsidR="005B2236">
        <w:t>peak</w:t>
      </w:r>
      <w:r>
        <w:t xml:space="preserve"> in </w:t>
      </w:r>
      <w:r w:rsidR="005B2236">
        <w:t>either winter or</w:t>
      </w:r>
      <w:r>
        <w:t xml:space="preserve"> summer. Reliability depends on which </w:t>
      </w:r>
      <w:r>
        <w:lastRenderedPageBreak/>
        <w:t>resources are going to be available when they are most needed due to demand patterns; th</w:t>
      </w:r>
      <w:r w:rsidR="007F66CE">
        <w:t>is availability c</w:t>
      </w:r>
      <w:r>
        <w:t>annot be precisely assessed without taking into account such temporal patterns.</w:t>
      </w:r>
    </w:p>
    <w:p w14:paraId="56D11EC1" w14:textId="27F27ACB" w:rsidR="00C076B2" w:rsidRDefault="00C076B2" w:rsidP="00C076B2">
      <w:pPr>
        <w:spacing w:after="0"/>
      </w:pPr>
      <w:r>
        <w:t xml:space="preserve">Indeed, </w:t>
      </w:r>
      <w:r w:rsidR="00D86485">
        <w:t xml:space="preserve">if an ex ante mechanism </w:t>
      </w:r>
      <w:r w:rsidR="00DB5B47">
        <w:t xml:space="preserve">were </w:t>
      </w:r>
      <w:r w:rsidR="00D86485">
        <w:t xml:space="preserve">chosen, </w:t>
      </w:r>
      <w:r>
        <w:t xml:space="preserve">implementing </w:t>
      </w:r>
      <w:r w:rsidR="00D06578">
        <w:t>a reliability mechanism</w:t>
      </w:r>
      <w:r>
        <w:t xml:space="preserve"> that reflects seasonal variations in the performance of resources would accord with S.B. 3. </w:t>
      </w:r>
      <w:r w:rsidR="00D86485">
        <w:t>The law instructs t</w:t>
      </w:r>
      <w:r>
        <w:t>he PUCT to ensure that the reliability services procured “</w:t>
      </w:r>
      <w:r w:rsidRPr="00496A53">
        <w:t>meet continuous operating requirements for the season in which the service is procured</w:t>
      </w:r>
      <w:r>
        <w:t>” and satisfy certain enumerated qualifications for the summer and winter.</w:t>
      </w:r>
      <w:r>
        <w:rPr>
          <w:rStyle w:val="FootnoteReference"/>
        </w:rPr>
        <w:footnoteReference w:id="46"/>
      </w:r>
    </w:p>
    <w:p w14:paraId="51641C4F" w14:textId="009DEAD7" w:rsidR="00710E13" w:rsidRDefault="00140915" w:rsidP="00C076B2">
      <w:pPr>
        <w:spacing w:after="0"/>
      </w:pPr>
      <w:r>
        <w:t>The</w:t>
      </w:r>
      <w:r w:rsidR="00710E13">
        <w:t xml:space="preserve"> E3 Report suggests “</w:t>
      </w:r>
      <w:r w:rsidR="00710E13" w:rsidRPr="006F6830">
        <w:t xml:space="preserve">that either a properly implemented annual </w:t>
      </w:r>
      <w:r w:rsidR="00710E13" w:rsidRPr="00F87306">
        <w:t xml:space="preserve">construct that accounts for risks across all seasons or a full seasonal construct would </w:t>
      </w:r>
      <w:r w:rsidR="005277BD">
        <w:t>. . .</w:t>
      </w:r>
      <w:r w:rsidR="00710E13">
        <w:t xml:space="preserve"> </w:t>
      </w:r>
      <w:r w:rsidR="00710E13" w:rsidRPr="00F87306">
        <w:t>yield similar economic outcomes</w:t>
      </w:r>
      <w:r w:rsidR="005E37CD">
        <w:t>,</w:t>
      </w:r>
      <w:r w:rsidR="00710E13" w:rsidRPr="00F87306">
        <w:t>”</w:t>
      </w:r>
      <w:r w:rsidR="00710E13" w:rsidRPr="00F87306">
        <w:rPr>
          <w:rStyle w:val="FootnoteReference"/>
        </w:rPr>
        <w:footnoteReference w:id="47"/>
      </w:r>
      <w:r w:rsidR="00710E13" w:rsidRPr="00F87306">
        <w:t xml:space="preserve"> </w:t>
      </w:r>
      <w:r w:rsidR="005E37CD">
        <w:t xml:space="preserve">and </w:t>
      </w:r>
      <w:r w:rsidR="00710E13">
        <w:t>that costs from a seasonal reliability mechanism would sum to the same cost as an annual mechanism.</w:t>
      </w:r>
      <w:r w:rsidR="00710E13" w:rsidRPr="00F87306">
        <w:rPr>
          <w:rStyle w:val="FootnoteReference"/>
        </w:rPr>
        <w:footnoteReference w:id="48"/>
      </w:r>
      <w:r w:rsidR="00710E13">
        <w:t xml:space="preserve"> However, this characterization assumes the most important point of accounting for seasonality: </w:t>
      </w:r>
      <w:r w:rsidR="00F96C34">
        <w:t xml:space="preserve">Ensuring </w:t>
      </w:r>
      <w:r w:rsidR="00710E13">
        <w:t>that accreditation “accounts for risks across all seasons” is critical for effectively valuing reliability.</w:t>
      </w:r>
      <w:r w:rsidR="00710E13">
        <w:rPr>
          <w:rStyle w:val="FootnoteReference"/>
        </w:rPr>
        <w:footnoteReference w:id="49"/>
      </w:r>
      <w:r w:rsidR="00710E13">
        <w:t xml:space="preserve"> </w:t>
      </w:r>
      <w:r w:rsidR="004557B0">
        <w:t xml:space="preserve">That is, </w:t>
      </w:r>
      <w:r w:rsidR="00710E13">
        <w:t>without perfect aggregation</w:t>
      </w:r>
      <w:r w:rsidR="005D1F62">
        <w:t xml:space="preserve"> of seasonal generation capabilities</w:t>
      </w:r>
      <w:r w:rsidR="00710E13">
        <w:t xml:space="preserve">, the outcomes </w:t>
      </w:r>
      <w:r w:rsidR="00D673BB">
        <w:t xml:space="preserve">under </w:t>
      </w:r>
      <w:r w:rsidR="00102976">
        <w:t xml:space="preserve">different seasonal constructs </w:t>
      </w:r>
      <w:r w:rsidR="00710E13">
        <w:t>would differ.</w:t>
      </w:r>
    </w:p>
    <w:p w14:paraId="2AD0AB40" w14:textId="4E96796E" w:rsidR="00397B2A" w:rsidRDefault="00AB4489" w:rsidP="00397B2A">
      <w:pPr>
        <w:spacing w:after="0"/>
      </w:pPr>
      <w:r>
        <w:t xml:space="preserve">If an ex ante mechanism </w:t>
      </w:r>
      <w:r w:rsidR="00DB5B47">
        <w:t>were</w:t>
      </w:r>
      <w:r>
        <w:t xml:space="preserve"> chosen, the accreditation should also </w:t>
      </w:r>
      <w:r w:rsidR="00397B2A">
        <w:t xml:space="preserve">reflect spatial supply and demand patterns. Supply patterns </w:t>
      </w:r>
      <w:r w:rsidR="00786EEE">
        <w:t xml:space="preserve">vary </w:t>
      </w:r>
      <w:r w:rsidR="00397B2A">
        <w:t>geographically within Texas based on weather fluctuations, variation in wind patterns and solar radiation, and transmission constraints</w:t>
      </w:r>
      <w:r w:rsidR="00D9152C">
        <w:t>.</w:t>
      </w:r>
      <w:r w:rsidR="00397B2A">
        <w:t xml:space="preserve"> </w:t>
      </w:r>
      <w:r w:rsidR="00D9152C">
        <w:t>D</w:t>
      </w:r>
      <w:r w:rsidR="00397B2A">
        <w:t>emand patterns are also spatially heterogeneous. Regional market clearing</w:t>
      </w:r>
      <w:r w:rsidR="0036559D">
        <w:t xml:space="preserve"> of reliability mechanisms</w:t>
      </w:r>
      <w:r w:rsidR="00397B2A">
        <w:t xml:space="preserve"> is a </w:t>
      </w:r>
      <w:r w:rsidR="00397B2A">
        <w:lastRenderedPageBreak/>
        <w:t xml:space="preserve">common feature of reliability mechanisms in other restructured markets including </w:t>
      </w:r>
      <w:r w:rsidR="00C12DF7">
        <w:t xml:space="preserve">ISO-NE, MISO, </w:t>
      </w:r>
      <w:r w:rsidR="00397B2A">
        <w:t xml:space="preserve">NYISO, and </w:t>
      </w:r>
      <w:r w:rsidR="00C12DF7">
        <w:t>PJM</w:t>
      </w:r>
      <w:r w:rsidR="00397B2A">
        <w:t>.</w:t>
      </w:r>
      <w:r w:rsidR="00397B2A">
        <w:rPr>
          <w:rStyle w:val="FootnoteReference"/>
        </w:rPr>
        <w:footnoteReference w:id="50"/>
      </w:r>
      <w:r w:rsidR="00397B2A">
        <w:t xml:space="preserve"> </w:t>
      </w:r>
    </w:p>
    <w:p w14:paraId="2D0E1E42" w14:textId="6A996F0A" w:rsidR="00317DFB" w:rsidRDefault="00317DFB" w:rsidP="00D354FA">
      <w:pPr>
        <w:pStyle w:val="Heading2"/>
        <w:spacing w:after="0"/>
      </w:pPr>
      <w:bookmarkStart w:id="16" w:name="_Toc120445441"/>
      <w:bookmarkStart w:id="17" w:name="_Toc120743908"/>
      <w:bookmarkStart w:id="18" w:name="_Toc121676507"/>
      <w:bookmarkStart w:id="19" w:name="_Toc120445440"/>
      <w:bookmarkStart w:id="20" w:name="_Toc120743905"/>
      <w:bookmarkEnd w:id="14"/>
      <w:r w:rsidRPr="003051D7">
        <w:t>Penalties for Non-</w:t>
      </w:r>
      <w:r w:rsidR="001943DE">
        <w:t>Performance</w:t>
      </w:r>
      <w:r w:rsidR="001943DE" w:rsidRPr="003051D7">
        <w:t xml:space="preserve"> </w:t>
      </w:r>
      <w:r w:rsidRPr="003051D7">
        <w:t xml:space="preserve">Should Reflect </w:t>
      </w:r>
      <w:r w:rsidR="003211B0">
        <w:t xml:space="preserve">the </w:t>
      </w:r>
      <w:r w:rsidRPr="003051D7">
        <w:t>Value of Lost Reliability</w:t>
      </w:r>
      <w:bookmarkEnd w:id="16"/>
      <w:bookmarkEnd w:id="17"/>
      <w:bookmarkEnd w:id="18"/>
      <w:r w:rsidR="007F6DC0">
        <w:br/>
      </w:r>
    </w:p>
    <w:p w14:paraId="74F84662" w14:textId="4847C025" w:rsidR="00F45B3A" w:rsidRDefault="00A9524B" w:rsidP="00D354FA">
      <w:pPr>
        <w:spacing w:after="0"/>
      </w:pPr>
      <w:r>
        <w:t>Without an appropriate level of non-performance penalty, no mechanism can ensure sufficient incentives for generators to invest in necessary measures that would guarantee their availability under stressed condition</w:t>
      </w:r>
      <w:r w:rsidR="0038387C">
        <w:t>s</w:t>
      </w:r>
      <w:r>
        <w:t xml:space="preserve">. </w:t>
      </w:r>
      <w:r w:rsidR="00510EF6">
        <w:t>B</w:t>
      </w:r>
      <w:r w:rsidR="00710FAB">
        <w:t>y impos</w:t>
      </w:r>
      <w:r w:rsidR="00510EF6">
        <w:t>ing</w:t>
      </w:r>
      <w:r w:rsidR="00710FAB">
        <w:t xml:space="preserve"> </w:t>
      </w:r>
      <w:r w:rsidR="007A0C70">
        <w:t xml:space="preserve">a </w:t>
      </w:r>
      <w:r w:rsidR="00710FAB">
        <w:t>penalty</w:t>
      </w:r>
      <w:r w:rsidR="007A0C70">
        <w:t xml:space="preserve"> that reflects the value of lost reliability</w:t>
      </w:r>
      <w:r w:rsidR="00710FAB">
        <w:t xml:space="preserve">, the PUCT would better </w:t>
      </w:r>
      <w:r w:rsidR="00FB1891">
        <w:t>disincentivize</w:t>
      </w:r>
      <w:r w:rsidR="00710FAB">
        <w:t xml:space="preserve"> </w:t>
      </w:r>
      <w:r w:rsidR="00FB1891">
        <w:t>non-</w:t>
      </w:r>
      <w:r w:rsidR="00710FAB">
        <w:t>performance during the highest</w:t>
      </w:r>
      <w:r w:rsidR="00611E5C">
        <w:t>-</w:t>
      </w:r>
      <w:r w:rsidR="00710FAB">
        <w:t>risk hours and thus fulfill S.B.’s requirement that any reliability mechanism “ensure” reliability.</w:t>
      </w:r>
      <w:r w:rsidR="00710FAB">
        <w:rPr>
          <w:rStyle w:val="FootnoteReference"/>
        </w:rPr>
        <w:footnoteReference w:id="51"/>
      </w:r>
      <w:r w:rsidR="00710FAB">
        <w:t xml:space="preserve"> </w:t>
      </w:r>
      <w:r w:rsidR="00E11C5F">
        <w:t>It is difficult to evaluate the PCM’s penalty against these principles because t</w:t>
      </w:r>
      <w:r w:rsidR="007A0C70">
        <w:t xml:space="preserve">he E3 Report omits key details on how </w:t>
      </w:r>
      <w:r w:rsidR="00E11C5F">
        <w:t xml:space="preserve">this </w:t>
      </w:r>
      <w:r w:rsidR="007A0C70">
        <w:t>penalty would work.</w:t>
      </w:r>
    </w:p>
    <w:p w14:paraId="2F1990AF" w14:textId="425BF355" w:rsidR="007A0C70" w:rsidRPr="00B422AE" w:rsidRDefault="007A0C70" w:rsidP="00997592">
      <w:pPr>
        <w:pStyle w:val="Heading3"/>
        <w:numPr>
          <w:ilvl w:val="0"/>
          <w:numId w:val="49"/>
        </w:numPr>
      </w:pPr>
      <w:r>
        <w:t>Efficient Penalties Under a Reliability Mechanism Should Reflect the Value of the Missing Generation Capacity</w:t>
      </w:r>
      <w:r>
        <w:br/>
      </w:r>
    </w:p>
    <w:p w14:paraId="02D05076" w14:textId="5C92E3F0" w:rsidR="007A0C70" w:rsidRDefault="007A0C70" w:rsidP="007A0C70">
      <w:pPr>
        <w:spacing w:after="0"/>
      </w:pPr>
      <w:r>
        <w:t xml:space="preserve">When units that have committed to providing reliability fail to perform, society incurs a cost from lost reliability. This cost fluctuates depending on system conditions. If conditions are strained, there is a higher probability that one additional MW of generation capacity will prevent a blackout event, implying greater reliability value for that capacity. When conditions are not strained, one MW of additional capacity may not have any effect on the stability of operations, meaning the additional capacity would have little reliability value. </w:t>
      </w:r>
    </w:p>
    <w:p w14:paraId="0CAB6BE7" w14:textId="4C291503" w:rsidR="007A0C70" w:rsidRDefault="007A0C70" w:rsidP="007A0C70">
      <w:pPr>
        <w:spacing w:after="0"/>
      </w:pPr>
      <w:r>
        <w:t xml:space="preserve">In an energy-only market with no price caps, explicit penalties for non-performance are not necessary because each generator faces the opportunity cost equal to the energy market price per MWh if they do not perform. In other words, the generators face what amounts to a penalty </w:t>
      </w:r>
      <w:r>
        <w:lastRenderedPageBreak/>
        <w:t>in the form of forgone revenue. Because,</w:t>
      </w:r>
      <w:r w:rsidR="00997592">
        <w:t xml:space="preserve"> without a</w:t>
      </w:r>
      <w:r>
        <w:t xml:space="preserve"> price</w:t>
      </w:r>
      <w:r w:rsidR="00FB0FA3">
        <w:t xml:space="preserve"> </w:t>
      </w:r>
      <w:r w:rsidR="00997592">
        <w:t>cap</w:t>
      </w:r>
      <w:r>
        <w:t xml:space="preserve">, the market price for electricity includes its reliability value, this implicit penalty for non-performance efficiently fluctuates with the changing value of reliability. </w:t>
      </w:r>
      <w:r w:rsidR="00997592">
        <w:t>A</w:t>
      </w:r>
      <w:r>
        <w:t>n ideal penalty for non-performance for any new reliability mechanism should provide a similar incentive.</w:t>
      </w:r>
      <w:r>
        <w:rPr>
          <w:rStyle w:val="FootnoteReference"/>
        </w:rPr>
        <w:footnoteReference w:id="52"/>
      </w:r>
    </w:p>
    <w:p w14:paraId="275736C4" w14:textId="2AF8FC41" w:rsidR="007A0C70" w:rsidRDefault="007A0C70" w:rsidP="007A0C70">
      <w:pPr>
        <w:tabs>
          <w:tab w:val="left" w:pos="4251"/>
        </w:tabs>
        <w:spacing w:after="0"/>
      </w:pPr>
      <w:r>
        <w:t xml:space="preserve">This type of penalty mechanism is partly embodied in the ORDC: Any unit that does not produce energy during scarcity hours misses out on significant revenue. But the ORDC design includes a cap on energy prices during scarcity hours, which prevents energy prices from reflecting the value of reliability when that value becomes very high. </w:t>
      </w:r>
      <w:r w:rsidDel="00731AD4">
        <w:t xml:space="preserve">Indeed, the ORDC price cap </w:t>
      </w:r>
      <w:r>
        <w:t>implies that the forgone revenue from non-performance is at most $5,000, which is less than typical estimates of the societal cost that is imposed by non-performance</w:t>
      </w:r>
      <w:r w:rsidR="00A640B2">
        <w:t xml:space="preserve"> during scarcity hours</w:t>
      </w:r>
      <w:r w:rsidDel="00731AD4">
        <w:t>.</w:t>
      </w:r>
      <w:r w:rsidDel="00731AD4">
        <w:rPr>
          <w:rStyle w:val="FootnoteReference"/>
        </w:rPr>
        <w:footnoteReference w:id="53"/>
      </w:r>
      <w:r>
        <w:t xml:space="preserve"> This difference between the societal cost of non-performance and the incentive to generate power during scarcity hours implies that some additional penalty would</w:t>
      </w:r>
      <w:r w:rsidDel="00731AD4">
        <w:t xml:space="preserve"> </w:t>
      </w:r>
      <w:r>
        <w:t xml:space="preserve">be needed as part of the design of any additional reliability mechanism intended to address the missing money problem. Otherwise, the design would not be guaranteed to ensure reliability as S.B. 3 directs. </w:t>
      </w:r>
    </w:p>
    <w:p w14:paraId="7BBF9F94" w14:textId="19060150" w:rsidR="00DC7768" w:rsidRDefault="00DC7768" w:rsidP="00997592">
      <w:pPr>
        <w:pStyle w:val="Heading3"/>
      </w:pPr>
      <w:bookmarkStart w:id="21" w:name="_Toc121676508"/>
      <w:r>
        <w:t>The PCM</w:t>
      </w:r>
      <w:r w:rsidR="00EE646F">
        <w:t>’s</w:t>
      </w:r>
      <w:r>
        <w:t xml:space="preserve"> Proposed Penalty Structure Require</w:t>
      </w:r>
      <w:r w:rsidR="006B5B8C">
        <w:t>s</w:t>
      </w:r>
      <w:r>
        <w:t xml:space="preserve"> Clarification</w:t>
      </w:r>
      <w:r>
        <w:br/>
      </w:r>
    </w:p>
    <w:p w14:paraId="50222D6E" w14:textId="02CCE517" w:rsidR="0088531B" w:rsidRDefault="00997592" w:rsidP="00372289">
      <w:pPr>
        <w:spacing w:after="0"/>
      </w:pPr>
      <w:r>
        <w:t>Despite the importance of non-performance penalties for ensuring reliability, it is not clear from the E3 Report how these penalties are going to be implemented</w:t>
      </w:r>
      <w:r w:rsidR="006507CE">
        <w:t xml:space="preserve"> with respect to the </w:t>
      </w:r>
      <w:r w:rsidR="006507CE">
        <w:lastRenderedPageBreak/>
        <w:t>PCM</w:t>
      </w:r>
      <w:r w:rsidR="00DC7768">
        <w:rPr>
          <w:rStyle w:val="FootnoteReference"/>
        </w:rPr>
        <w:footnoteReference w:id="54"/>
      </w:r>
      <w:r w:rsidR="00DC7768">
        <w:t xml:space="preserve"> E3 proposes that, when </w:t>
      </w:r>
      <w:r w:rsidR="00CA5BCF">
        <w:t xml:space="preserve">a </w:t>
      </w:r>
      <w:r w:rsidR="00DC7768">
        <w:t>generator sell</w:t>
      </w:r>
      <w:r w:rsidR="00CA5BCF">
        <w:t>s</w:t>
      </w:r>
      <w:r w:rsidR="00DC7768">
        <w:t xml:space="preserve"> performance credits in the forward market and then fail</w:t>
      </w:r>
      <w:r w:rsidR="0039478B">
        <w:t>s</w:t>
      </w:r>
      <w:r w:rsidR="00DC7768">
        <w:t xml:space="preserve"> to </w:t>
      </w:r>
      <w:r w:rsidR="003F1964">
        <w:t xml:space="preserve">offer availability during </w:t>
      </w:r>
      <w:r w:rsidR="000A7E7D">
        <w:t>the highest</w:t>
      </w:r>
      <w:r w:rsidR="00510EF6">
        <w:t>-</w:t>
      </w:r>
      <w:r w:rsidR="000A7E7D">
        <w:t>risk hours</w:t>
      </w:r>
      <w:r w:rsidR="00DC7768">
        <w:t xml:space="preserve">, the generator will need to </w:t>
      </w:r>
      <w:r w:rsidR="00F26C88">
        <w:t>“procur[</w:t>
      </w:r>
      <w:r w:rsidR="0088531B">
        <w:t>e</w:t>
      </w:r>
      <w:r w:rsidR="00F26C88">
        <w:t>] [performance credits] in the retrospective settlement process</w:t>
      </w:r>
      <w:r w:rsidR="00DC7768">
        <w:t>.</w:t>
      </w:r>
      <w:r w:rsidR="00F26C88">
        <w:t>”</w:t>
      </w:r>
      <w:r w:rsidR="00DC7768">
        <w:rPr>
          <w:rStyle w:val="FootnoteReference"/>
        </w:rPr>
        <w:footnoteReference w:id="55"/>
      </w:r>
      <w:r w:rsidR="00DC7768">
        <w:t xml:space="preserve"> </w:t>
      </w:r>
    </w:p>
    <w:p w14:paraId="2A328821" w14:textId="10DE0845" w:rsidR="00A32C08" w:rsidRDefault="00DC7768" w:rsidP="00372289">
      <w:pPr>
        <w:spacing w:after="0"/>
      </w:pPr>
      <w:r>
        <w:t xml:space="preserve">This proposal is </w:t>
      </w:r>
      <w:r w:rsidR="0032231C">
        <w:t>ambiguous</w:t>
      </w:r>
      <w:r>
        <w:t xml:space="preserve">. In the proposed </w:t>
      </w:r>
      <w:r w:rsidRPr="00D61451">
        <w:t>ex post</w:t>
      </w:r>
      <w:r w:rsidRPr="431B374E">
        <w:rPr>
          <w:i/>
          <w:iCs/>
        </w:rPr>
        <w:t xml:space="preserve"> </w:t>
      </w:r>
      <w:r>
        <w:t xml:space="preserve">settlement of </w:t>
      </w:r>
      <w:r w:rsidR="00E470AC">
        <w:t>performance credits</w:t>
      </w:r>
      <w:r>
        <w:t xml:space="preserve">, </w:t>
      </w:r>
      <w:r w:rsidR="009D5AE3">
        <w:t xml:space="preserve">the </w:t>
      </w:r>
      <w:r>
        <w:t>supply</w:t>
      </w:r>
      <w:r w:rsidR="009D5AE3">
        <w:t xml:space="preserve"> of credits</w:t>
      </w:r>
      <w:r>
        <w:t xml:space="preserve"> is determined by the amount of resources </w:t>
      </w:r>
      <w:r w:rsidR="006C2BF6">
        <w:t>that actually end up performing</w:t>
      </w:r>
      <w:r>
        <w:t xml:space="preserve"> during the highest</w:t>
      </w:r>
      <w:r w:rsidR="00611E5C">
        <w:t>-</w:t>
      </w:r>
      <w:r>
        <w:t>risk hours, the clearing price is determined by the administratively</w:t>
      </w:r>
      <w:r w:rsidR="00A43828">
        <w:t xml:space="preserve"> </w:t>
      </w:r>
      <w:r>
        <w:t>set demand curve, and costs are allocated to LSEs according to their share of consumption.</w:t>
      </w:r>
      <w:r>
        <w:rPr>
          <w:rStyle w:val="FootnoteReference"/>
        </w:rPr>
        <w:footnoteReference w:id="56"/>
      </w:r>
      <w:r>
        <w:t xml:space="preserve"> If all </w:t>
      </w:r>
      <w:r w:rsidR="00E470AC">
        <w:t>performance credits</w:t>
      </w:r>
      <w:r>
        <w:t xml:space="preserve">, the number of which is determined </w:t>
      </w:r>
      <w:r w:rsidR="004528C4">
        <w:t xml:space="preserve">after the </w:t>
      </w:r>
      <w:r w:rsidR="004F7573">
        <w:t xml:space="preserve">market </w:t>
      </w:r>
      <w:r w:rsidR="004528C4">
        <w:t>settlement process</w:t>
      </w:r>
      <w:r>
        <w:t xml:space="preserve">, </w:t>
      </w:r>
      <w:r w:rsidR="00086622">
        <w:t xml:space="preserve">have been claimed by </w:t>
      </w:r>
      <w:r>
        <w:t>LSEs</w:t>
      </w:r>
      <w:r w:rsidR="00086622">
        <w:t xml:space="preserve"> </w:t>
      </w:r>
      <w:r w:rsidR="00751E36">
        <w:t>then</w:t>
      </w:r>
      <w:r>
        <w:t xml:space="preserve"> it is not apparent how a generator that fails to perform will “procure</w:t>
      </w:r>
      <w:r w:rsidR="007F5832">
        <w:t xml:space="preserve"> </w:t>
      </w:r>
      <w:r w:rsidR="00E470AC">
        <w:t>[performance credits]</w:t>
      </w:r>
      <w:r>
        <w:t xml:space="preserve"> in the retrospective settlement process,” as there will be no remaining </w:t>
      </w:r>
      <w:r w:rsidR="00E470AC">
        <w:t xml:space="preserve">performance credits </w:t>
      </w:r>
      <w:r w:rsidR="00C255A9">
        <w:t xml:space="preserve">for non-performing generators </w:t>
      </w:r>
      <w:r>
        <w:t>to procure.</w:t>
      </w:r>
      <w:r w:rsidR="009C06C1">
        <w:t xml:space="preserve"> </w:t>
      </w:r>
    </w:p>
    <w:p w14:paraId="78A761F3" w14:textId="46DC8C73" w:rsidR="00DC7768" w:rsidRDefault="006D7848" w:rsidP="00372289">
      <w:pPr>
        <w:spacing w:after="0"/>
      </w:pPr>
      <w:r>
        <w:t xml:space="preserve">One </w:t>
      </w:r>
      <w:r w:rsidR="007A600D">
        <w:t xml:space="preserve">possible </w:t>
      </w:r>
      <w:r>
        <w:t xml:space="preserve">interpretation of </w:t>
      </w:r>
      <w:r w:rsidR="00B23280">
        <w:t>E</w:t>
      </w:r>
      <w:r w:rsidR="00F37A41">
        <w:t>3</w:t>
      </w:r>
      <w:r w:rsidR="00B23280">
        <w:t xml:space="preserve">’s </w:t>
      </w:r>
      <w:r>
        <w:t xml:space="preserve">proposal is </w:t>
      </w:r>
      <w:r w:rsidR="007A600D">
        <w:t xml:space="preserve">that failing to </w:t>
      </w:r>
      <w:r w:rsidR="00F40D3C">
        <w:t>be available</w:t>
      </w:r>
      <w:r w:rsidR="007A600D">
        <w:t xml:space="preserve"> after selling performance credits would result in a purely</w:t>
      </w:r>
      <w:r w:rsidR="00F47A03">
        <w:t xml:space="preserve"> financial penalty </w:t>
      </w:r>
      <w:r w:rsidR="00DD4FC9">
        <w:t xml:space="preserve">set </w:t>
      </w:r>
      <w:r w:rsidR="00936B4A">
        <w:t>at</w:t>
      </w:r>
      <w:r w:rsidR="00F47A03">
        <w:t xml:space="preserve"> the settlement price of the performance credits</w:t>
      </w:r>
      <w:r w:rsidR="00044F93">
        <w:t>, without actually requiring the purchase of any credits</w:t>
      </w:r>
      <w:r w:rsidR="00F47A03">
        <w:t xml:space="preserve">. </w:t>
      </w:r>
      <w:r w:rsidR="008F7D80" w:rsidRPr="00537F97">
        <w:t xml:space="preserve">As described </w:t>
      </w:r>
      <w:r w:rsidR="006C2BF6">
        <w:t>above</w:t>
      </w:r>
      <w:r w:rsidR="008F7D80" w:rsidRPr="00537F97">
        <w:t>, such a p</w:t>
      </w:r>
      <w:r w:rsidR="00A65E15" w:rsidRPr="00537F97">
        <w:t xml:space="preserve">enalty </w:t>
      </w:r>
      <w:r w:rsidR="00794227" w:rsidRPr="00537F97">
        <w:t xml:space="preserve">would be </w:t>
      </w:r>
      <w:r w:rsidR="00A65E15" w:rsidRPr="00537F97">
        <w:t xml:space="preserve">sensible </w:t>
      </w:r>
      <w:r w:rsidR="00450B5B" w:rsidRPr="006C2BF6">
        <w:t xml:space="preserve">only </w:t>
      </w:r>
      <w:r w:rsidR="00A65E15" w:rsidRPr="00537F97">
        <w:t xml:space="preserve">to the extent that </w:t>
      </w:r>
      <w:r w:rsidR="00AD04D2" w:rsidRPr="00537F97">
        <w:t xml:space="preserve">the </w:t>
      </w:r>
      <w:r w:rsidR="005C1DC8" w:rsidRPr="00537F97">
        <w:t>PCM</w:t>
      </w:r>
      <w:r w:rsidR="00AD04D2" w:rsidRPr="00537F97">
        <w:t xml:space="preserve"> results in a</w:t>
      </w:r>
      <w:r w:rsidR="00891ED9" w:rsidRPr="00537F97">
        <w:t xml:space="preserve"> settlement price that reflects the value of reliability </w:t>
      </w:r>
      <w:r w:rsidR="00265E57" w:rsidRPr="00537F97">
        <w:t xml:space="preserve">lost from failing to </w:t>
      </w:r>
      <w:r w:rsidR="006963E3" w:rsidRPr="00537F97">
        <w:t xml:space="preserve">be available </w:t>
      </w:r>
      <w:r w:rsidR="00C654C8" w:rsidRPr="00537F97">
        <w:t xml:space="preserve">to deliver </w:t>
      </w:r>
      <w:r w:rsidR="00A97FD2" w:rsidRPr="00537F97">
        <w:t>energy.</w:t>
      </w:r>
      <w:r w:rsidR="00D46B36">
        <w:t xml:space="preserve"> But</w:t>
      </w:r>
      <w:r w:rsidR="00537F97">
        <w:t>,</w:t>
      </w:r>
      <w:r w:rsidR="00D46B36">
        <w:t xml:space="preserve"> as described throughout </w:t>
      </w:r>
      <w:r w:rsidR="00CF1048">
        <w:t>Part III</w:t>
      </w:r>
      <w:r w:rsidR="00D46B36">
        <w:t>, it is not clear the performance credit price under the PCM would reflect this value.</w:t>
      </w:r>
      <w:r w:rsidR="00020C49">
        <w:t xml:space="preserve"> </w:t>
      </w:r>
      <w:r w:rsidR="00020C49" w:rsidRPr="00020C49">
        <w:rPr>
          <w:lang w:val="en-US"/>
        </w:rPr>
        <w:t xml:space="preserve">For example, if the PCM does not compensate all resources according to their reliability value, the mechanism will be inefficient as discussed in Section III.A, resulting in a performance credit price that does not accurately reflect the value of reliability. If market power </w:t>
      </w:r>
      <w:r w:rsidR="00020C49" w:rsidRPr="00020C49">
        <w:rPr>
          <w:lang w:val="en-US"/>
        </w:rPr>
        <w:lastRenderedPageBreak/>
        <w:t>exercise (discussed in Section III.D) is left unchecked, the resulting performance credit price may be artificially elevated.</w:t>
      </w:r>
    </w:p>
    <w:p w14:paraId="3ADB1F08" w14:textId="18A4E3C4" w:rsidR="00C03E97" w:rsidRPr="003051D7" w:rsidRDefault="00A275AC" w:rsidP="00CC6AE2">
      <w:pPr>
        <w:pStyle w:val="Heading2"/>
      </w:pPr>
      <w:bookmarkStart w:id="22" w:name="_Toc121676510"/>
      <w:bookmarkEnd w:id="21"/>
      <w:r>
        <w:t xml:space="preserve">The </w:t>
      </w:r>
      <w:r w:rsidR="001B4113">
        <w:t>Reliability</w:t>
      </w:r>
      <w:r w:rsidR="001B4113" w:rsidRPr="003051D7">
        <w:t xml:space="preserve"> </w:t>
      </w:r>
      <w:r w:rsidR="006B1298">
        <w:t xml:space="preserve">Mechanism </w:t>
      </w:r>
      <w:r w:rsidR="007C56DA" w:rsidRPr="003051D7">
        <w:t>Should Mitigate Uncertainty</w:t>
      </w:r>
      <w:bookmarkEnd w:id="19"/>
      <w:bookmarkEnd w:id="20"/>
      <w:r w:rsidR="00F55DDA">
        <w:t xml:space="preserve"> </w:t>
      </w:r>
      <w:bookmarkEnd w:id="22"/>
    </w:p>
    <w:p w14:paraId="35E4B350" w14:textId="0A29522C" w:rsidR="0039197D" w:rsidRDefault="00757386" w:rsidP="006D6A12">
      <w:pPr>
        <w:spacing w:after="0"/>
      </w:pPr>
      <w:r>
        <w:t xml:space="preserve">Fluctuations in </w:t>
      </w:r>
      <w:r w:rsidR="00976CDC">
        <w:t xml:space="preserve">electricity </w:t>
      </w:r>
      <w:r>
        <w:t>supply and demand imply significant risk</w:t>
      </w:r>
      <w:r w:rsidR="00E3015C">
        <w:t xml:space="preserve"> and uncertainty f</w:t>
      </w:r>
      <w:r w:rsidR="00597EEB">
        <w:t>o</w:t>
      </w:r>
      <w:r w:rsidR="00E3015C">
        <w:t>r</w:t>
      </w:r>
      <w:r w:rsidR="00597EEB">
        <w:t xml:space="preserve"> parties </w:t>
      </w:r>
      <w:r w:rsidR="00E131F4">
        <w:t xml:space="preserve">involved in wholesale electricity market transactions. </w:t>
      </w:r>
      <w:r w:rsidR="00E3015C">
        <w:t xml:space="preserve">This risk and uncertainty can translate to </w:t>
      </w:r>
      <w:r w:rsidR="00B73D7D">
        <w:t>risk premia</w:t>
      </w:r>
      <w:r w:rsidR="00976CDC">
        <w:t>,</w:t>
      </w:r>
      <w:r w:rsidR="00B73D7D">
        <w:t xml:space="preserve"> which are likely to be passed through to consumers </w:t>
      </w:r>
      <w:r w:rsidR="00976CDC">
        <w:t>as additional costs</w:t>
      </w:r>
      <w:r w:rsidR="00B73D7D">
        <w:t>.</w:t>
      </w:r>
      <w:r w:rsidR="00976CDC">
        <w:t xml:space="preserve"> However,</w:t>
      </w:r>
      <w:r w:rsidR="00B73D7D">
        <w:t xml:space="preserve"> </w:t>
      </w:r>
      <w:r w:rsidR="00976CDC">
        <w:t>r</w:t>
      </w:r>
      <w:r w:rsidR="00E12C1D">
        <w:t>eliability mechanisms can be designed to mitigate</w:t>
      </w:r>
      <w:r w:rsidR="00976CDC">
        <w:t xml:space="preserve"> this</w:t>
      </w:r>
      <w:r w:rsidR="00E12C1D">
        <w:t xml:space="preserve"> risk. </w:t>
      </w:r>
      <w:r w:rsidR="00455234">
        <w:t xml:space="preserve">The PCM design </w:t>
      </w:r>
      <w:r w:rsidR="00CF48A9">
        <w:t>is inherently more risk</w:t>
      </w:r>
      <w:r w:rsidR="003B7B14">
        <w:t>y</w:t>
      </w:r>
      <w:r w:rsidR="00CF48A9">
        <w:t>, and therefore potentially costlier, than other</w:t>
      </w:r>
      <w:r w:rsidR="00E12C1D">
        <w:t xml:space="preserve"> </w:t>
      </w:r>
      <w:r w:rsidR="00CF48A9">
        <w:t>market designs assessed by E3.</w:t>
      </w:r>
      <w:r w:rsidR="00380113">
        <w:t xml:space="preserve"> Thus, relative to other proposals, the PCM is inconsistent with the PUCT’s mission to ensure just and reasonable rates.</w:t>
      </w:r>
      <w:r w:rsidR="009B56A1">
        <w:rPr>
          <w:rStyle w:val="FootnoteReference"/>
        </w:rPr>
        <w:footnoteReference w:id="57"/>
      </w:r>
      <w:r w:rsidR="00380113">
        <w:t xml:space="preserve">  </w:t>
      </w:r>
    </w:p>
    <w:p w14:paraId="0ADE94EF" w14:textId="77777777" w:rsidR="0039197D" w:rsidRDefault="0039197D" w:rsidP="004E02AD">
      <w:pPr>
        <w:pStyle w:val="Heading3"/>
        <w:numPr>
          <w:ilvl w:val="0"/>
          <w:numId w:val="38"/>
        </w:numPr>
      </w:pPr>
      <w:r>
        <w:t xml:space="preserve">Uncertainty and Risk Lead to Greater </w:t>
      </w:r>
      <w:r w:rsidRPr="004E02AD">
        <w:t>Investment</w:t>
      </w:r>
      <w:r>
        <w:t xml:space="preserve"> Costs </w:t>
      </w:r>
    </w:p>
    <w:p w14:paraId="32FA7E71" w14:textId="77777777" w:rsidR="002860E8" w:rsidRPr="00CC4F71" w:rsidRDefault="002860E8" w:rsidP="00E17C38">
      <w:pPr>
        <w:spacing w:after="0" w:line="240" w:lineRule="auto"/>
      </w:pPr>
    </w:p>
    <w:p w14:paraId="18043EDD" w14:textId="3E38768A" w:rsidR="0039197D" w:rsidRDefault="0039197D" w:rsidP="00916AE2">
      <w:pPr>
        <w:keepNext/>
        <w:spacing w:after="0"/>
      </w:pPr>
      <w:r>
        <w:t>Investors make capacity</w:t>
      </w:r>
      <w:r w:rsidR="00334CFC">
        <w:t>-</w:t>
      </w:r>
      <w:r>
        <w:t xml:space="preserve">investment decisions </w:t>
      </w:r>
      <w:r w:rsidRPr="431B374E">
        <w:rPr>
          <w:rFonts w:eastAsiaTheme="minorEastAsia"/>
          <w:lang w:val="en-US"/>
        </w:rPr>
        <w:t xml:space="preserve">based on expectations about future market outcomes. And they </w:t>
      </w:r>
      <w:r>
        <w:t>can be risk averse.</w:t>
      </w:r>
      <w:r>
        <w:rPr>
          <w:rStyle w:val="FootnoteReference"/>
        </w:rPr>
        <w:footnoteReference w:id="58"/>
      </w:r>
      <w:r>
        <w:t xml:space="preserve"> Imagine that </w:t>
      </w:r>
      <w:r w:rsidDel="00EA7161">
        <w:t xml:space="preserve">an investment </w:t>
      </w:r>
      <w:r>
        <w:t xml:space="preserve">has a 50% chance of earning $200 and a 50% chance of earning $0. Although the expected value of that investment would be $100, a risk-averse investor might value the investment at only $90 because of the high probability that it would lose all value. In that case, the risk premium—i.e., the </w:t>
      </w:r>
      <w:r w:rsidR="007F4379">
        <w:t xml:space="preserve">difference between </w:t>
      </w:r>
      <w:r>
        <w:t xml:space="preserve">the </w:t>
      </w:r>
      <w:r w:rsidR="007F4379">
        <w:t xml:space="preserve">expected return and the </w:t>
      </w:r>
      <w:r>
        <w:t>investor</w:t>
      </w:r>
      <w:r w:rsidR="007F4379">
        <w:t>’s willingness to pay</w:t>
      </w:r>
      <w:r>
        <w:t>—would be $10.</w:t>
      </w:r>
      <w:r>
        <w:rPr>
          <w:rStyle w:val="FootnoteReference"/>
        </w:rPr>
        <w:footnoteReference w:id="59"/>
      </w:r>
      <w:r>
        <w:t xml:space="preserve"> </w:t>
      </w:r>
      <w:r w:rsidR="008A1C57">
        <w:t>Th</w:t>
      </w:r>
      <w:r w:rsidR="0068492B">
        <w:t>e</w:t>
      </w:r>
      <w:r w:rsidR="008A1C57">
        <w:t xml:space="preserve"> same </w:t>
      </w:r>
      <w:r w:rsidR="008A1C57">
        <w:lastRenderedPageBreak/>
        <w:t xml:space="preserve">logic applies to </w:t>
      </w:r>
      <w:r w:rsidR="00691BC9">
        <w:t xml:space="preserve">investments in </w:t>
      </w:r>
      <w:r w:rsidR="00232FAC">
        <w:t>generation resources</w:t>
      </w:r>
      <w:r w:rsidR="009E4958">
        <w:t xml:space="preserve"> and the uncertainty caused by new reliability mechanism. </w:t>
      </w:r>
    </w:p>
    <w:p w14:paraId="065D0C1C" w14:textId="7871881D" w:rsidR="0039197D" w:rsidRDefault="00EB4463" w:rsidP="000A3901">
      <w:pPr>
        <w:spacing w:after="0"/>
      </w:pPr>
      <w:r>
        <w:t xml:space="preserve">Because </w:t>
      </w:r>
      <w:r w:rsidR="0039197D">
        <w:t xml:space="preserve">the price of electricity fluctuates with high frequency, electricity markets are inherently risky, for both consumers and investors. </w:t>
      </w:r>
      <w:r w:rsidR="00AA4DBA">
        <w:t xml:space="preserve">A reliability mechanism that includes </w:t>
      </w:r>
      <w:r w:rsidR="00620770">
        <w:t xml:space="preserve">certain types of </w:t>
      </w:r>
      <w:r w:rsidR="00AA4DBA">
        <w:t xml:space="preserve">forward-contracting </w:t>
      </w:r>
      <w:r w:rsidR="00AB623C">
        <w:t xml:space="preserve">can </w:t>
      </w:r>
      <w:r w:rsidR="00232FAC">
        <w:t xml:space="preserve">mitigate this risk, </w:t>
      </w:r>
      <w:r w:rsidR="004F6000">
        <w:t>thus reduc</w:t>
      </w:r>
      <w:r w:rsidR="00507AA8">
        <w:t>ing</w:t>
      </w:r>
      <w:r w:rsidR="004F6000">
        <w:t xml:space="preserve"> financing costs by reducing the risk premia for investment in new generation</w:t>
      </w:r>
      <w:r w:rsidR="0039197D">
        <w:t>.</w:t>
      </w:r>
      <w:r w:rsidR="0039197D">
        <w:rPr>
          <w:rStyle w:val="FootnoteReference"/>
        </w:rPr>
        <w:footnoteReference w:id="60"/>
      </w:r>
      <w:r w:rsidR="000A3901">
        <w:t xml:space="preserve"> But not every reliability mechanism reduces risk</w:t>
      </w:r>
      <w:r w:rsidR="0039197D">
        <w:t xml:space="preserve">. If </w:t>
      </w:r>
      <w:r w:rsidR="000A3901">
        <w:t xml:space="preserve">a new mechanism </w:t>
      </w:r>
      <w:r w:rsidR="0039197D">
        <w:t xml:space="preserve">introduces additional uncertainty in the expected returns from investing in a generation resource, the cost of acquiring financing would include a higher risk premium. Higher financing costs would ultimately lead to </w:t>
      </w:r>
      <w:r w:rsidR="0068492B">
        <w:t>increased costs</w:t>
      </w:r>
      <w:r w:rsidR="0039197D">
        <w:t xml:space="preserve"> for consumers. </w:t>
      </w:r>
    </w:p>
    <w:p w14:paraId="4AFBF5E6" w14:textId="08AF8098" w:rsidR="00BE1AB4" w:rsidRDefault="00BE1AB4" w:rsidP="004E02AD">
      <w:pPr>
        <w:pStyle w:val="Heading3"/>
      </w:pPr>
      <w:bookmarkStart w:id="23" w:name="_Toc121676402"/>
      <w:bookmarkStart w:id="24" w:name="_Toc121676512"/>
      <w:bookmarkStart w:id="25" w:name="_Toc121676513"/>
      <w:bookmarkStart w:id="26" w:name="_Toc120445442"/>
      <w:bookmarkStart w:id="27" w:name="_Toc120743911"/>
      <w:bookmarkEnd w:id="23"/>
      <w:bookmarkEnd w:id="24"/>
      <w:r>
        <w:t>The PCM Introduces Significant Uncertainty</w:t>
      </w:r>
      <w:r w:rsidR="00614E02">
        <w:t xml:space="preserve"> and Would </w:t>
      </w:r>
      <w:r w:rsidR="00FD6E54">
        <w:t xml:space="preserve">Increase </w:t>
      </w:r>
      <w:r w:rsidR="00614E02">
        <w:t>Costs to Consumers</w:t>
      </w:r>
      <w:bookmarkEnd w:id="25"/>
    </w:p>
    <w:p w14:paraId="25A336A1" w14:textId="77777777" w:rsidR="00E126F8" w:rsidRPr="00711591" w:rsidRDefault="00E126F8">
      <w:pPr>
        <w:spacing w:after="0" w:line="240" w:lineRule="auto"/>
      </w:pPr>
    </w:p>
    <w:p w14:paraId="3F15632E" w14:textId="4997CCF5" w:rsidR="00BE1AB4" w:rsidRDefault="004159D5" w:rsidP="00E51EFB">
      <w:pPr>
        <w:spacing w:after="0"/>
      </w:pPr>
      <w:r>
        <w:t>T</w:t>
      </w:r>
      <w:r w:rsidR="00BE1AB4">
        <w:t>he PCM</w:t>
      </w:r>
      <w:r w:rsidR="00D63FED">
        <w:t>, as proposed by E3,</w:t>
      </w:r>
      <w:r w:rsidR="00BE1AB4">
        <w:t xml:space="preserve"> </w:t>
      </w:r>
      <w:r w:rsidR="007E2925">
        <w:t>has</w:t>
      </w:r>
      <w:r w:rsidR="00D63FED">
        <w:t xml:space="preserve"> more</w:t>
      </w:r>
      <w:r w:rsidR="00BE1AB4">
        <w:t xml:space="preserve"> uncertainty</w:t>
      </w:r>
      <w:r w:rsidR="00D63FED">
        <w:t xml:space="preserve"> than the other designs. </w:t>
      </w:r>
      <w:r w:rsidR="00793392">
        <w:t xml:space="preserve">Specifically, the PCM </w:t>
      </w:r>
      <w:r w:rsidR="00784A41">
        <w:t>would inject</w:t>
      </w:r>
      <w:r w:rsidR="00793392">
        <w:t xml:space="preserve"> uncertainty surrounding the revenue from investing in generation resources because of the unpredictability of which hours will be the highest</w:t>
      </w:r>
      <w:r w:rsidR="00611E5C">
        <w:t>-</w:t>
      </w:r>
      <w:r w:rsidR="00793392">
        <w:t xml:space="preserve">risk and the price of performance credits. </w:t>
      </w:r>
      <w:r w:rsidR="00D63FED">
        <w:t>This uncertainty would</w:t>
      </w:r>
      <w:r w:rsidR="00BE1AB4">
        <w:t xml:space="preserve"> likely to lead to</w:t>
      </w:r>
      <w:r w:rsidR="00CC296F">
        <w:t xml:space="preserve"> high</w:t>
      </w:r>
      <w:r w:rsidR="00BE1AB4">
        <w:t xml:space="preserve"> risk premia for new investments in generation resources</w:t>
      </w:r>
      <w:r w:rsidR="00C67399">
        <w:t>,</w:t>
      </w:r>
      <w:r w:rsidR="00BE1AB4">
        <w:t xml:space="preserve"> </w:t>
      </w:r>
      <w:r w:rsidR="00B50FA5">
        <w:t>which</w:t>
      </w:r>
      <w:r w:rsidR="00BE1AB4">
        <w:t xml:space="preserve"> would be passed on to consumers in their electricity bills. </w:t>
      </w:r>
    </w:p>
    <w:p w14:paraId="328AA165" w14:textId="7671BD8B" w:rsidR="00BE1AB4" w:rsidRDefault="00BE1AB4" w:rsidP="00760782">
      <w:pPr>
        <w:spacing w:after="0"/>
      </w:pPr>
      <w:r>
        <w:t>Consider a hypothetical combined</w:t>
      </w:r>
      <w:r w:rsidR="00463D9E">
        <w:t>-</w:t>
      </w:r>
      <w:r>
        <w:t xml:space="preserve">cycle natural gas plant under the PCM and </w:t>
      </w:r>
      <w:r w:rsidR="431B374E">
        <w:t xml:space="preserve">proposed Forward Reliability </w:t>
      </w:r>
      <w:r w:rsidR="003A5915">
        <w:t>Market</w:t>
      </w:r>
      <w:r>
        <w:t xml:space="preserve">. </w:t>
      </w:r>
      <w:r w:rsidR="00E42747">
        <w:t>This unit</w:t>
      </w:r>
      <w:r>
        <w:t xml:space="preserve"> would receive compensation under the PCM only if</w:t>
      </w:r>
      <w:r w:rsidR="00366DEF">
        <w:t xml:space="preserve"> </w:t>
      </w:r>
      <w:r w:rsidR="00E42747">
        <w:t>it</w:t>
      </w:r>
      <w:r>
        <w:t xml:space="preserve"> delivered power during the compliance period’s high-risk hours</w:t>
      </w:r>
      <w:r w:rsidR="431B374E">
        <w:t xml:space="preserve">, currently defined as “the hours of lowest incremental available operating reserves,” which will be unknown until the ex post </w:t>
      </w:r>
      <w:r w:rsidR="431B374E">
        <w:lastRenderedPageBreak/>
        <w:t>settlement process.</w:t>
      </w:r>
      <w:r w:rsidR="00215BD3">
        <w:rPr>
          <w:rStyle w:val="FootnoteReference"/>
        </w:rPr>
        <w:footnoteReference w:id="61"/>
      </w:r>
      <w:r w:rsidR="431B374E">
        <w:t xml:space="preserve"> This approach implies that generators and LSEs will face a moving target when predicting which hours will be high risk</w:t>
      </w:r>
      <w:r>
        <w:t xml:space="preserve">. Given the time necessary to ramp the </w:t>
      </w:r>
      <w:r w:rsidR="431B374E">
        <w:t xml:space="preserve">hypothetical combined cycle </w:t>
      </w:r>
      <w:r>
        <w:t>plant to its full generation output, an investor would not have certainty about the plant’s level of generation during the highest</w:t>
      </w:r>
      <w:r w:rsidR="00611E5C">
        <w:t>-</w:t>
      </w:r>
      <w:r>
        <w:t>risk hours</w:t>
      </w:r>
      <w:r w:rsidR="431B374E">
        <w:t xml:space="preserve">. </w:t>
      </w:r>
      <w:r w:rsidR="003F5C1C">
        <w:t>A</w:t>
      </w:r>
      <w:r w:rsidR="0059580D">
        <w:t xml:space="preserve"> surge in </w:t>
      </w:r>
      <w:r w:rsidR="00174467">
        <w:t xml:space="preserve">net load </w:t>
      </w:r>
      <w:r w:rsidR="0059580D">
        <w:t xml:space="preserve">could arise </w:t>
      </w:r>
      <w:r w:rsidR="00CF2A0B">
        <w:t xml:space="preserve">suddenly, </w:t>
      </w:r>
      <w:r w:rsidR="00174467">
        <w:t xml:space="preserve">giving the generation unit insufficient time to respond and produce energy. This uncertainty may cause </w:t>
      </w:r>
      <w:r>
        <w:t xml:space="preserve">a risk-averse investor to demand a risk premium. In contrast, under the </w:t>
      </w:r>
      <w:r w:rsidR="009E0D6D">
        <w:t>Forward</w:t>
      </w:r>
      <w:r w:rsidR="431B374E">
        <w:t xml:space="preserve"> Reliability Market</w:t>
      </w:r>
      <w:r>
        <w:t xml:space="preserve">, </w:t>
      </w:r>
      <w:r w:rsidR="000D0956">
        <w:t>generators</w:t>
      </w:r>
      <w:r>
        <w:t xml:space="preserve"> would receive reliability credits according to the assigned effective load carrying capacity of the</w:t>
      </w:r>
      <w:r w:rsidR="000D0956">
        <w:t>ir</w:t>
      </w:r>
      <w:r>
        <w:t xml:space="preserve"> </w:t>
      </w:r>
      <w:r w:rsidR="000D0956">
        <w:t>resources</w:t>
      </w:r>
      <w:r w:rsidR="431B374E">
        <w:t>, regardless of performance in any specific hours</w:t>
      </w:r>
      <w:r>
        <w:t>.</w:t>
      </w:r>
      <w:r w:rsidR="001002AA">
        <w:rPr>
          <w:rStyle w:val="FootnoteReference"/>
        </w:rPr>
        <w:footnoteReference w:id="62"/>
      </w:r>
      <w:r>
        <w:t xml:space="preserve"> The </w:t>
      </w:r>
      <w:r w:rsidR="00D231EE">
        <w:t xml:space="preserve">investors would </w:t>
      </w:r>
      <w:r w:rsidR="431B374E">
        <w:t xml:space="preserve">therefore </w:t>
      </w:r>
      <w:r w:rsidR="00D231EE">
        <w:t xml:space="preserve">know </w:t>
      </w:r>
      <w:r w:rsidR="431B374E">
        <w:t xml:space="preserve">with certainty </w:t>
      </w:r>
      <w:r w:rsidR="00D231EE">
        <w:t xml:space="preserve">the </w:t>
      </w:r>
      <w:r w:rsidR="0010513F">
        <w:t>quantity</w:t>
      </w:r>
      <w:r w:rsidR="431B374E">
        <w:t xml:space="preserve"> of</w:t>
      </w:r>
      <w:r>
        <w:t xml:space="preserve"> credits </w:t>
      </w:r>
      <w:r w:rsidR="431B374E">
        <w:t xml:space="preserve">to be produced by the gas </w:t>
      </w:r>
      <w:r w:rsidR="00920EF7">
        <w:t>plant</w:t>
      </w:r>
      <w:r>
        <w:t xml:space="preserve">. Such an arrangement would </w:t>
      </w:r>
      <w:r w:rsidR="00CD0614">
        <w:t>entail relatively</w:t>
      </w:r>
      <w:r>
        <w:t xml:space="preserve"> less risk for the investor, </w:t>
      </w:r>
      <w:r w:rsidR="00BF3FB7">
        <w:t xml:space="preserve">hence </w:t>
      </w:r>
      <w:r>
        <w:t xml:space="preserve">a </w:t>
      </w:r>
      <w:r w:rsidR="00BF3FB7">
        <w:t xml:space="preserve">relatively </w:t>
      </w:r>
      <w:r>
        <w:t xml:space="preserve">smaller risk premium, and </w:t>
      </w:r>
      <w:r w:rsidR="00BF3FB7">
        <w:t>a relatively lower cost to consumers</w:t>
      </w:r>
      <w:r>
        <w:t>.</w:t>
      </w:r>
    </w:p>
    <w:p w14:paraId="72C5D896" w14:textId="18D6AA54" w:rsidR="00172F32" w:rsidRDefault="431B374E" w:rsidP="006C1636">
      <w:pPr>
        <w:spacing w:after="0"/>
      </w:pPr>
      <w:r>
        <w:t xml:space="preserve">Under the PCM, </w:t>
      </w:r>
      <w:r w:rsidR="00BF3FB7">
        <w:t xml:space="preserve">in addition to the </w:t>
      </w:r>
      <w:r w:rsidR="00BE1AB4">
        <w:t xml:space="preserve">uncertainty about whether generators will earn credits at all, </w:t>
      </w:r>
      <w:r w:rsidR="005E1E7F">
        <w:t>there</w:t>
      </w:r>
      <w:r>
        <w:t xml:space="preserve"> would be uncertainty as to</w:t>
      </w:r>
      <w:r w:rsidR="00BE1AB4">
        <w:t xml:space="preserve"> the</w:t>
      </w:r>
      <w:r w:rsidR="003464A9">
        <w:t xml:space="preserve"> settlement</w:t>
      </w:r>
      <w:r w:rsidR="00BE1AB4">
        <w:t xml:space="preserve"> price of the credits</w:t>
      </w:r>
      <w:r w:rsidR="005C44DD">
        <w:t xml:space="preserve">. </w:t>
      </w:r>
      <w:r w:rsidR="009E6802">
        <w:t xml:space="preserve">E3 explains that </w:t>
      </w:r>
      <w:r w:rsidR="005C1498">
        <w:t xml:space="preserve">the settlement price </w:t>
      </w:r>
      <w:r w:rsidR="00446186">
        <w:t xml:space="preserve">is set according to where </w:t>
      </w:r>
      <w:r w:rsidR="004C2967">
        <w:t xml:space="preserve">the </w:t>
      </w:r>
      <w:r w:rsidR="006175E5">
        <w:t xml:space="preserve">demand curve </w:t>
      </w:r>
      <w:r w:rsidR="00EE0960">
        <w:t xml:space="preserve">(set </w:t>
      </w:r>
      <w:r w:rsidR="004C2967">
        <w:t>administratively</w:t>
      </w:r>
      <w:r w:rsidR="00EE0960">
        <w:t xml:space="preserve">, </w:t>
      </w:r>
      <w:r w:rsidR="00EE0960" w:rsidRPr="001A72EA">
        <w:t>ex ante</w:t>
      </w:r>
      <w:r w:rsidR="00EE0960">
        <w:t xml:space="preserve">) </w:t>
      </w:r>
      <w:r w:rsidR="006175E5">
        <w:t xml:space="preserve">intersects </w:t>
      </w:r>
      <w:r w:rsidR="00EE0960">
        <w:t>a vertical supply curve</w:t>
      </w:r>
      <w:r w:rsidR="00784F19">
        <w:t xml:space="preserve"> </w:t>
      </w:r>
      <w:r w:rsidR="00114615">
        <w:t>during the compliance period’s highest</w:t>
      </w:r>
      <w:r w:rsidR="00611E5C">
        <w:t>-</w:t>
      </w:r>
      <w:r w:rsidR="00114615">
        <w:t>risk hours</w:t>
      </w:r>
      <w:r w:rsidR="004D7FD4">
        <w:t>.</w:t>
      </w:r>
      <w:r w:rsidR="004D7FD4">
        <w:rPr>
          <w:rStyle w:val="FootnoteReference"/>
        </w:rPr>
        <w:footnoteReference w:id="63"/>
      </w:r>
      <w:r w:rsidR="00114615">
        <w:t xml:space="preserve"> </w:t>
      </w:r>
      <w:r w:rsidR="00306DFB">
        <w:t>T</w:t>
      </w:r>
      <w:r w:rsidR="00240C15">
        <w:t>he vertical supply curve</w:t>
      </w:r>
      <w:r w:rsidR="008A2811">
        <w:t>s</w:t>
      </w:r>
      <w:r w:rsidR="00240C15">
        <w:t xml:space="preserve"> </w:t>
      </w:r>
      <w:r w:rsidR="00B413FA">
        <w:t>in each of the high-risk hours</w:t>
      </w:r>
      <w:r w:rsidR="00240C15">
        <w:t xml:space="preserve"> </w:t>
      </w:r>
      <w:r w:rsidR="00B413FA">
        <w:t>are</w:t>
      </w:r>
      <w:r w:rsidR="00240C15">
        <w:t xml:space="preserve"> </w:t>
      </w:r>
      <w:r w:rsidR="008A2811">
        <w:t>determined</w:t>
      </w:r>
      <w:r w:rsidR="00240C15">
        <w:t xml:space="preserve"> </w:t>
      </w:r>
      <w:r w:rsidR="00FF4669">
        <w:t xml:space="preserve">based </w:t>
      </w:r>
      <w:r w:rsidR="00240C15">
        <w:t>on “</w:t>
      </w:r>
      <w:r w:rsidR="00240C15" w:rsidRPr="00514263">
        <w:t>weather conditions, plant outages, and other factors</w:t>
      </w:r>
      <w:r w:rsidR="00784CE8">
        <w:t>,</w:t>
      </w:r>
      <w:r w:rsidR="00240C15">
        <w:t>”</w:t>
      </w:r>
      <w:r w:rsidR="00784CE8" w:rsidRPr="00A64E7F">
        <w:rPr>
          <w:rStyle w:val="FootnoteReference"/>
        </w:rPr>
        <w:t xml:space="preserve"> </w:t>
      </w:r>
      <w:r w:rsidR="00A64E7F">
        <w:rPr>
          <w:rStyle w:val="FootnoteReference"/>
        </w:rPr>
        <w:footnoteReference w:id="64"/>
      </w:r>
      <w:r w:rsidR="00784CE8">
        <w:t xml:space="preserve"> thus creating </w:t>
      </w:r>
      <w:r w:rsidR="00B6381B">
        <w:t xml:space="preserve">uncertainty </w:t>
      </w:r>
      <w:r w:rsidR="00A64E7F">
        <w:t>around price.</w:t>
      </w:r>
      <w:r w:rsidR="00D872A9">
        <w:t xml:space="preserve"> </w:t>
      </w:r>
      <w:r>
        <w:t xml:space="preserve">This additional uncertainty would likely raise investment costs and cause consumers to pay more. </w:t>
      </w:r>
    </w:p>
    <w:p w14:paraId="78BFA8CF" w14:textId="3D2A8775" w:rsidR="00BE1AB4" w:rsidDel="00B20339" w:rsidRDefault="00BE1AB4" w:rsidP="0044760B">
      <w:pPr>
        <w:spacing w:after="0"/>
      </w:pPr>
      <w:r>
        <w:t xml:space="preserve">Although the PCM would include a voluntary forward market, </w:t>
      </w:r>
      <w:r w:rsidR="00541EBB">
        <w:t xml:space="preserve">prices settled in the </w:t>
      </w:r>
      <w:r w:rsidR="00073344">
        <w:t xml:space="preserve">forward market </w:t>
      </w:r>
      <w:r w:rsidR="431B374E">
        <w:t xml:space="preserve">would </w:t>
      </w:r>
      <w:r w:rsidR="00BF3FB7">
        <w:t xml:space="preserve">also </w:t>
      </w:r>
      <w:r w:rsidR="00541EBB">
        <w:t>reflect</w:t>
      </w:r>
      <w:r>
        <w:t xml:space="preserve"> </w:t>
      </w:r>
      <w:r w:rsidR="00EF11B8">
        <w:t xml:space="preserve">the risk aversion of </w:t>
      </w:r>
      <w:r w:rsidR="001D112A">
        <w:t xml:space="preserve">LSEs and generators. More risk in the </w:t>
      </w:r>
      <w:r w:rsidR="001D112A">
        <w:lastRenderedPageBreak/>
        <w:t xml:space="preserve">market settlement price implies </w:t>
      </w:r>
      <w:r w:rsidR="00011ED0">
        <w:t>greater risk premia</w:t>
      </w:r>
      <w:r w:rsidR="431B374E">
        <w:t>,</w:t>
      </w:r>
      <w:r w:rsidR="005D6550">
        <w:t xml:space="preserve"> </w:t>
      </w:r>
      <w:r w:rsidR="0096308E">
        <w:t xml:space="preserve">as described </w:t>
      </w:r>
      <w:r w:rsidR="009F4F85">
        <w:t>above</w:t>
      </w:r>
      <w:r w:rsidR="00BF3FB7">
        <w:t>, and higher costs to consumer</w:t>
      </w:r>
      <w:r w:rsidR="00A83116">
        <w:t>s</w:t>
      </w:r>
      <w:r w:rsidR="0096308E">
        <w:t xml:space="preserve">. </w:t>
      </w:r>
      <w:r w:rsidR="00614E02">
        <w:t xml:space="preserve">In contrast, proposals such as the </w:t>
      </w:r>
      <w:r w:rsidR="431B374E">
        <w:t xml:space="preserve">Forward Reliability Market </w:t>
      </w:r>
      <w:r w:rsidR="006C472D">
        <w:t xml:space="preserve">and </w:t>
      </w:r>
      <w:r w:rsidR="431B374E">
        <w:t xml:space="preserve">Load Serving Entity Reliability </w:t>
      </w:r>
      <w:r w:rsidR="00ED7BF0">
        <w:t xml:space="preserve">Obligation </w:t>
      </w:r>
      <w:r w:rsidR="431B374E">
        <w:t xml:space="preserve">would </w:t>
      </w:r>
      <w:r w:rsidR="00614E02">
        <w:t xml:space="preserve">alleviate price risk by allowing LSEs and generators to lock in prices and quantities without potential exposure to a volatile </w:t>
      </w:r>
      <w:r w:rsidR="00614E02" w:rsidRPr="001A72EA">
        <w:t>ex post</w:t>
      </w:r>
      <w:r w:rsidR="00614E02" w:rsidRPr="431B374E">
        <w:rPr>
          <w:i/>
          <w:iCs/>
        </w:rPr>
        <w:t xml:space="preserve"> </w:t>
      </w:r>
      <w:r w:rsidR="00614E02">
        <w:t>settlement process.</w:t>
      </w:r>
      <w:r w:rsidR="00614E02">
        <w:rPr>
          <w:rStyle w:val="FootnoteReference"/>
        </w:rPr>
        <w:footnoteReference w:id="65"/>
      </w:r>
    </w:p>
    <w:p w14:paraId="58152268" w14:textId="239B596A" w:rsidR="00D67246" w:rsidRPr="00D67246" w:rsidRDefault="001046A4" w:rsidP="00D354FA">
      <w:pPr>
        <w:pStyle w:val="Heading2"/>
        <w:spacing w:after="0"/>
      </w:pPr>
      <w:bookmarkStart w:id="28" w:name="_Toc121676518"/>
      <w:r>
        <w:t xml:space="preserve">The </w:t>
      </w:r>
      <w:r w:rsidR="000320E5">
        <w:t xml:space="preserve">PUCT Should Address Potential </w:t>
      </w:r>
      <w:r w:rsidR="004466DF" w:rsidRPr="003051D7">
        <w:t>Market</w:t>
      </w:r>
      <w:r>
        <w:t>-</w:t>
      </w:r>
      <w:r w:rsidR="004466DF" w:rsidRPr="003051D7">
        <w:t>Power</w:t>
      </w:r>
      <w:r w:rsidR="000B1774">
        <w:t xml:space="preserve"> </w:t>
      </w:r>
      <w:bookmarkEnd w:id="26"/>
      <w:bookmarkEnd w:id="27"/>
      <w:bookmarkEnd w:id="28"/>
      <w:r w:rsidR="000320E5">
        <w:t>Concerns</w:t>
      </w:r>
      <w:r w:rsidR="00520522">
        <w:t xml:space="preserve"> Related to Any New </w:t>
      </w:r>
      <w:r w:rsidR="003B2B28">
        <w:t>Reliability</w:t>
      </w:r>
      <w:r w:rsidR="00520522">
        <w:t xml:space="preserve"> </w:t>
      </w:r>
      <w:r w:rsidR="00647FE5">
        <w:t>Mechanism</w:t>
      </w:r>
      <w:r w:rsidR="00F55E58">
        <w:br/>
      </w:r>
    </w:p>
    <w:p w14:paraId="70504656" w14:textId="261127AF" w:rsidR="001941B2" w:rsidRDefault="008E1775" w:rsidP="00F23472">
      <w:pPr>
        <w:spacing w:after="0"/>
      </w:pPr>
      <w:r>
        <w:t>Market power is a</w:t>
      </w:r>
      <w:r w:rsidR="00963B9F" w:rsidRPr="004D6D87">
        <w:t xml:space="preserve"> perennial concern</w:t>
      </w:r>
      <w:r w:rsidR="000B1774">
        <w:t xml:space="preserve"> in electricity markets</w:t>
      </w:r>
      <w:r w:rsidR="00963B9F" w:rsidRPr="004D6D87">
        <w:t xml:space="preserve">, and, if unchecked, will </w:t>
      </w:r>
      <w:r w:rsidR="00963B9F">
        <w:t xml:space="preserve">lead to higher </w:t>
      </w:r>
      <w:r w:rsidR="00375180">
        <w:t xml:space="preserve">settlement </w:t>
      </w:r>
      <w:r w:rsidR="00963B9F">
        <w:t xml:space="preserve">prices, </w:t>
      </w:r>
      <w:r w:rsidR="431B374E">
        <w:t xml:space="preserve">which will </w:t>
      </w:r>
      <w:r w:rsidR="00963B9F">
        <w:t>ultimately</w:t>
      </w:r>
      <w:r w:rsidR="431B374E">
        <w:t xml:space="preserve"> be</w:t>
      </w:r>
      <w:r w:rsidR="00963B9F">
        <w:t xml:space="preserve"> borne by </w:t>
      </w:r>
      <w:r w:rsidR="00963B9F" w:rsidRPr="004D6D87">
        <w:t>consumers.</w:t>
      </w:r>
      <w:r w:rsidR="00750108">
        <w:rPr>
          <w:rStyle w:val="FootnoteReference"/>
        </w:rPr>
        <w:footnoteReference w:id="66"/>
      </w:r>
      <w:r w:rsidR="0093720C">
        <w:t xml:space="preserve"> </w:t>
      </w:r>
      <w:r w:rsidR="001941B2">
        <w:t>The exercise of</w:t>
      </w:r>
      <w:r w:rsidR="00FD2F78">
        <w:t xml:space="preserve"> </w:t>
      </w:r>
      <w:r w:rsidR="001941B2">
        <w:t>market power implicates not only the PUCT’s obligation to ensure just and reasonable rates,</w:t>
      </w:r>
      <w:r w:rsidR="001116D4">
        <w:rPr>
          <w:rStyle w:val="FootnoteReference"/>
        </w:rPr>
        <w:footnoteReference w:id="67"/>
      </w:r>
      <w:r w:rsidR="001941B2">
        <w:t xml:space="preserve"> but also S.B. 3’s instruction that any reliability service be procured “on a competitive basis.”</w:t>
      </w:r>
      <w:r w:rsidR="00FA631E">
        <w:rPr>
          <w:rStyle w:val="FootnoteReference"/>
        </w:rPr>
        <w:footnoteReference w:id="68"/>
      </w:r>
      <w:r w:rsidR="00FD2F78">
        <w:t xml:space="preserve"> </w:t>
      </w:r>
    </w:p>
    <w:p w14:paraId="5DFDAD12" w14:textId="20FE5110" w:rsidR="004213EA" w:rsidRDefault="431B374E" w:rsidP="00F23472">
      <w:pPr>
        <w:spacing w:after="0"/>
      </w:pPr>
      <w:r>
        <w:t xml:space="preserve">In a typical energy market, a supplier with market power can elevate settlement prices by strategically withholding supply. ERCOT, like any other U.S. wholesale electricity market, monitors and automatically mitigates </w:t>
      </w:r>
      <w:r w:rsidR="009D194E">
        <w:t>energy-</w:t>
      </w:r>
      <w:r>
        <w:t xml:space="preserve">offer prices if suppliers are deemed to have locational market power. In addition, forward contracts can reduce the risk of </w:t>
      </w:r>
      <w:r w:rsidR="009D194E">
        <w:t>supplier-</w:t>
      </w:r>
      <w:r>
        <w:t>side market power in the spot market.</w:t>
      </w:r>
      <w:r w:rsidR="004213EA">
        <w:rPr>
          <w:rStyle w:val="FootnoteReference"/>
        </w:rPr>
        <w:footnoteReference w:id="69"/>
      </w:r>
    </w:p>
    <w:p w14:paraId="028FB92F" w14:textId="4EDEA224" w:rsidR="000B1774" w:rsidRDefault="000320E5" w:rsidP="00EF3F40">
      <w:pPr>
        <w:spacing w:after="0"/>
      </w:pPr>
      <w:r>
        <w:lastRenderedPageBreak/>
        <w:t xml:space="preserve">Introducing a new market creates new </w:t>
      </w:r>
      <w:r w:rsidR="009D194E">
        <w:t>market-</w:t>
      </w:r>
      <w:r>
        <w:t xml:space="preserve">power concerns. </w:t>
      </w:r>
      <w:r w:rsidR="0093720C" w:rsidRPr="004D6D87">
        <w:t xml:space="preserve">The E3 </w:t>
      </w:r>
      <w:r w:rsidR="0093720C">
        <w:t>R</w:t>
      </w:r>
      <w:r w:rsidR="0093720C" w:rsidRPr="004D6D87">
        <w:t>eport relie</w:t>
      </w:r>
      <w:r w:rsidR="0093720C">
        <w:t>s</w:t>
      </w:r>
      <w:r w:rsidR="0093720C" w:rsidRPr="004D6D87">
        <w:t xml:space="preserve"> on a qualitative assessment of potential </w:t>
      </w:r>
      <w:r w:rsidR="009D194E" w:rsidRPr="004D6D87">
        <w:t>marke</w:t>
      </w:r>
      <w:r w:rsidR="009D194E">
        <w:t>t-</w:t>
      </w:r>
      <w:r w:rsidR="0093720C" w:rsidRPr="004D6D87">
        <w:t xml:space="preserve">power concerns </w:t>
      </w:r>
      <w:r w:rsidR="431B374E">
        <w:t xml:space="preserve">related to the proposed reliability mechanisms </w:t>
      </w:r>
      <w:r w:rsidR="0093720C" w:rsidRPr="004D6D87">
        <w:t xml:space="preserve">and claims that </w:t>
      </w:r>
      <w:r w:rsidR="0082080C">
        <w:t>existing</w:t>
      </w:r>
      <w:r w:rsidR="0093720C" w:rsidRPr="004D6D87">
        <w:t xml:space="preserve"> tools to contain market power are likely to be sufficient under </w:t>
      </w:r>
      <w:r w:rsidR="0093720C">
        <w:t>most design proposals</w:t>
      </w:r>
      <w:r w:rsidR="0093720C" w:rsidRPr="004D6D87">
        <w:t>.</w:t>
      </w:r>
      <w:r w:rsidR="0093720C">
        <w:rPr>
          <w:rStyle w:val="FootnoteReference"/>
        </w:rPr>
        <w:footnoteReference w:id="70"/>
      </w:r>
      <w:r w:rsidR="00DE7938">
        <w:t xml:space="preserve"> </w:t>
      </w:r>
      <w:r w:rsidR="000B1774">
        <w:t>But a</w:t>
      </w:r>
      <w:r w:rsidR="00DE7938">
        <w:t xml:space="preserve"> closer </w:t>
      </w:r>
      <w:r w:rsidR="00754FBB">
        <w:t xml:space="preserve">examination of market power </w:t>
      </w:r>
      <w:r w:rsidR="008C7A50">
        <w:t>is warranted</w:t>
      </w:r>
      <w:r w:rsidR="00537B0A">
        <w:t>, especially</w:t>
      </w:r>
      <w:r w:rsidR="431B374E">
        <w:t xml:space="preserve"> before launching a never-before-tested reliability mechanism</w:t>
      </w:r>
      <w:r w:rsidR="00B359D1">
        <w:t xml:space="preserve"> like the PCM</w:t>
      </w:r>
      <w:r w:rsidR="00D07354">
        <w:t>.</w:t>
      </w:r>
    </w:p>
    <w:p w14:paraId="36882619" w14:textId="70D56EDD" w:rsidR="003E2FD6" w:rsidRDefault="005F0915" w:rsidP="00AB161F">
      <w:pPr>
        <w:spacing w:after="0"/>
      </w:pPr>
      <w:r>
        <w:t>Under the PCM</w:t>
      </w:r>
      <w:r w:rsidR="00B03AD1">
        <w:t xml:space="preserve">, </w:t>
      </w:r>
      <w:r w:rsidR="00EA2DDA">
        <w:t xml:space="preserve">a supplier </w:t>
      </w:r>
      <w:r w:rsidR="00B03AD1">
        <w:t xml:space="preserve">would </w:t>
      </w:r>
      <w:r w:rsidR="00EA2DDA">
        <w:t xml:space="preserve">not only </w:t>
      </w:r>
      <w:r w:rsidR="00B03AD1">
        <w:t xml:space="preserve">be </w:t>
      </w:r>
      <w:r w:rsidR="00EA2DDA">
        <w:t xml:space="preserve">rewarded </w:t>
      </w:r>
      <w:r w:rsidR="003E3490">
        <w:t>for the quantity</w:t>
      </w:r>
      <w:r w:rsidR="00B03AD1">
        <w:t xml:space="preserve"> of energy generated in real time, </w:t>
      </w:r>
      <w:r w:rsidR="003E3490">
        <w:t xml:space="preserve">but also for the total available quantity </w:t>
      </w:r>
      <w:r w:rsidR="00A81ECA">
        <w:t xml:space="preserve">that </w:t>
      </w:r>
      <w:r w:rsidR="003E3490">
        <w:t xml:space="preserve">it has offered into </w:t>
      </w:r>
      <w:r w:rsidR="00D12A4D">
        <w:t xml:space="preserve">energy and ancillary services </w:t>
      </w:r>
      <w:r w:rsidR="003E3490">
        <w:t>market</w:t>
      </w:r>
      <w:r w:rsidR="00D12A4D">
        <w:t>s</w:t>
      </w:r>
      <w:r w:rsidR="00387AA8">
        <w:t xml:space="preserve"> during the compliance period’s high-risk hours</w:t>
      </w:r>
      <w:r w:rsidR="004863AB">
        <w:t>. This</w:t>
      </w:r>
      <w:r w:rsidR="00D54034">
        <w:t xml:space="preserve"> additional reward</w:t>
      </w:r>
      <w:r w:rsidR="004863AB">
        <w:t xml:space="preserve"> m</w:t>
      </w:r>
      <w:r w:rsidR="005E693A">
        <w:t>a</w:t>
      </w:r>
      <w:r w:rsidR="004863AB">
        <w:t xml:space="preserve">y amplify </w:t>
      </w:r>
      <w:r w:rsidR="005E693A">
        <w:t>a</w:t>
      </w:r>
      <w:r w:rsidR="004863AB">
        <w:t xml:space="preserve"> </w:t>
      </w:r>
      <w:r w:rsidR="00705273">
        <w:t>supplier’s</w:t>
      </w:r>
      <w:r w:rsidR="004863AB">
        <w:t xml:space="preserve"> incentive</w:t>
      </w:r>
      <w:r w:rsidR="005E693A">
        <w:t xml:space="preserve"> to withhold some supply during high</w:t>
      </w:r>
      <w:r w:rsidR="00DC2C67">
        <w:t>-</w:t>
      </w:r>
      <w:r w:rsidR="005E693A">
        <w:t xml:space="preserve">risk hours </w:t>
      </w:r>
      <w:r w:rsidR="00AE0285">
        <w:t xml:space="preserve">to induce </w:t>
      </w:r>
      <w:r w:rsidR="00E83AC4">
        <w:t xml:space="preserve">both </w:t>
      </w:r>
      <w:r w:rsidR="00AE0285">
        <w:t xml:space="preserve">a higher </w:t>
      </w:r>
      <w:r w:rsidR="00EF300C">
        <w:t>energy-</w:t>
      </w:r>
      <w:r w:rsidR="00E83AC4">
        <w:t>clearing</w:t>
      </w:r>
      <w:r w:rsidR="00AE0285">
        <w:t xml:space="preserve"> price and a higher </w:t>
      </w:r>
      <w:r w:rsidR="00EF300C">
        <w:t>performance-</w:t>
      </w:r>
      <w:r w:rsidR="00AE0285">
        <w:t>credit settlement price.</w:t>
      </w:r>
      <w:r w:rsidR="00511E4D">
        <w:t xml:space="preserve"> </w:t>
      </w:r>
      <w:r w:rsidR="00CC4021">
        <w:t xml:space="preserve">Although </w:t>
      </w:r>
      <w:r w:rsidR="00511E4D">
        <w:t>t</w:t>
      </w:r>
      <w:r w:rsidR="00A57610">
        <w:t xml:space="preserve">he </w:t>
      </w:r>
      <w:r w:rsidR="007C58C1">
        <w:t xml:space="preserve">PCM </w:t>
      </w:r>
      <w:r w:rsidR="00511E4D">
        <w:t xml:space="preserve">includes </w:t>
      </w:r>
      <w:r w:rsidR="00E56231">
        <w:t xml:space="preserve">a </w:t>
      </w:r>
      <w:r w:rsidR="00EF300C">
        <w:t>voluntary</w:t>
      </w:r>
      <w:r w:rsidR="00C00294">
        <w:t xml:space="preserve"> </w:t>
      </w:r>
      <w:r w:rsidR="00E56231">
        <w:t>forward marke</w:t>
      </w:r>
      <w:r w:rsidR="00660A09">
        <w:t>t</w:t>
      </w:r>
      <w:r w:rsidR="00D8098F">
        <w:t>,</w:t>
      </w:r>
      <w:r w:rsidR="009265F4">
        <w:t xml:space="preserve"> </w:t>
      </w:r>
      <w:r w:rsidR="00D8098F">
        <w:t>which could</w:t>
      </w:r>
      <w:r w:rsidR="00511E4D">
        <w:t xml:space="preserve"> potentially</w:t>
      </w:r>
      <w:r w:rsidR="009265F4">
        <w:t xml:space="preserve"> mitigate </w:t>
      </w:r>
      <w:r w:rsidR="00EF300C">
        <w:t>market-</w:t>
      </w:r>
      <w:r w:rsidR="009265F4">
        <w:t>power exercise</w:t>
      </w:r>
      <w:r w:rsidR="00511E4D">
        <w:t>,</w:t>
      </w:r>
      <w:r w:rsidR="06C2E5BE">
        <w:t xml:space="preserve"> </w:t>
      </w:r>
      <w:r w:rsidR="4D5B09A8">
        <w:t xml:space="preserve">it </w:t>
      </w:r>
      <w:r w:rsidR="00BE73BD">
        <w:t xml:space="preserve">remains unclear whether </w:t>
      </w:r>
      <w:r w:rsidR="00EF300C">
        <w:t>a voluntary market</w:t>
      </w:r>
      <w:r w:rsidR="00BE73BD">
        <w:t xml:space="preserve"> </w:t>
      </w:r>
      <w:r w:rsidR="00BD69AA">
        <w:t>would</w:t>
      </w:r>
      <w:r w:rsidR="00BE73BD">
        <w:t xml:space="preserve"> sufficiently incentivize generators to participate in a manner that mitigates market</w:t>
      </w:r>
      <w:r w:rsidR="00EF300C">
        <w:t>-</w:t>
      </w:r>
      <w:r w:rsidR="00BE73BD">
        <w:t>power</w:t>
      </w:r>
      <w:r w:rsidR="00163F4F">
        <w:t xml:space="preserve"> </w:t>
      </w:r>
      <w:r w:rsidR="00EF300C">
        <w:t>concerns</w:t>
      </w:r>
      <w:r w:rsidR="00CD502A">
        <w:t xml:space="preserve">. While the number of </w:t>
      </w:r>
      <w:r w:rsidR="006F79FB">
        <w:t xml:space="preserve">generators </w:t>
      </w:r>
      <w:r w:rsidR="00CD502A">
        <w:t xml:space="preserve">that participate in the forward market may be high, the participants are not necessarily incentivized to offer </w:t>
      </w:r>
      <w:r w:rsidR="00EC2FFF">
        <w:t>meaningful levels of</w:t>
      </w:r>
      <w:r w:rsidR="00CD502A">
        <w:t xml:space="preserve"> capacity in the forward market.</w:t>
      </w:r>
      <w:r w:rsidR="00BF190A">
        <w:rPr>
          <w:rStyle w:val="FootnoteReference"/>
        </w:rPr>
        <w:footnoteReference w:id="71"/>
      </w:r>
      <w:r w:rsidR="00CD502A">
        <w:t xml:space="preserve"> </w:t>
      </w:r>
      <w:r w:rsidR="00DA7054">
        <w:t>As such, there might be significant market power in the ex post settlement market.</w:t>
      </w:r>
    </w:p>
    <w:p w14:paraId="6022C5BF" w14:textId="08CBDEB1" w:rsidR="00F04A04" w:rsidRDefault="431B374E" w:rsidP="00D0244B">
      <w:pPr>
        <w:spacing w:after="0"/>
      </w:pPr>
      <w:r>
        <w:t xml:space="preserve">While ERCOT’s existing market-power-mitigation tools can help with mitigating the price impact of locational market power in the energy market, they may not be sufficient to solve these new concerns that the PCM would create. </w:t>
      </w:r>
      <w:r w:rsidR="007D35ED">
        <w:t xml:space="preserve">The benefit of </w:t>
      </w:r>
      <w:r w:rsidR="008227AA">
        <w:t>ERCOT’s existing</w:t>
      </w:r>
      <w:r w:rsidR="007D35ED">
        <w:t xml:space="preserve"> </w:t>
      </w:r>
      <w:r w:rsidR="005B0EDE">
        <w:t xml:space="preserve">mitigation </w:t>
      </w:r>
      <w:r>
        <w:lastRenderedPageBreak/>
        <w:t xml:space="preserve">tools </w:t>
      </w:r>
      <w:r w:rsidR="007D35ED">
        <w:t xml:space="preserve">is that </w:t>
      </w:r>
      <w:r>
        <w:t xml:space="preserve">they </w:t>
      </w:r>
      <w:r w:rsidR="007D35ED">
        <w:t xml:space="preserve">operate right before the energy market is cleared and therefore </w:t>
      </w:r>
      <w:r w:rsidR="00F25620">
        <w:t>can</w:t>
      </w:r>
      <w:r w:rsidR="007D35ED">
        <w:t xml:space="preserve"> </w:t>
      </w:r>
      <w:r w:rsidR="001925A7">
        <w:t xml:space="preserve">prevent locational market power </w:t>
      </w:r>
      <w:r w:rsidR="006B32AD">
        <w:t>instantaneously</w:t>
      </w:r>
      <w:r w:rsidR="001925A7">
        <w:t xml:space="preserve">. </w:t>
      </w:r>
      <w:r w:rsidR="006B32AD">
        <w:t xml:space="preserve">However, </w:t>
      </w:r>
      <w:r w:rsidR="001925A7">
        <w:t>these procedures</w:t>
      </w:r>
      <w:r w:rsidR="00D629EF">
        <w:t xml:space="preserve"> are</w:t>
      </w:r>
      <w:r w:rsidR="008227AA" w:rsidDel="431B374E">
        <w:t xml:space="preserve"> </w:t>
      </w:r>
      <w:r>
        <w:t xml:space="preserve">aimed at limiting offer prices </w:t>
      </w:r>
      <w:r w:rsidR="00D629EF">
        <w:t xml:space="preserve">and </w:t>
      </w:r>
      <w:r>
        <w:t>cannot</w:t>
      </w:r>
      <w:r w:rsidR="001925A7">
        <w:t xml:space="preserve"> compel </w:t>
      </w:r>
      <w:r>
        <w:t xml:space="preserve">units </w:t>
      </w:r>
      <w:r w:rsidR="001925A7">
        <w:t>to operate</w:t>
      </w:r>
      <w:r>
        <w:t>,</w:t>
      </w:r>
      <w:r w:rsidR="00943409">
        <w:t xml:space="preserve"> which </w:t>
      </w:r>
      <w:r w:rsidR="00520522">
        <w:t>means</w:t>
      </w:r>
      <w:r w:rsidR="008227AA" w:rsidDel="431B374E">
        <w:t xml:space="preserve"> </w:t>
      </w:r>
      <w:r>
        <w:t xml:space="preserve">they are </w:t>
      </w:r>
      <w:r w:rsidR="00CB599F">
        <w:t>insufficient to eliminate market power, particularly during</w:t>
      </w:r>
      <w:r w:rsidR="00A826A3">
        <w:t xml:space="preserve"> </w:t>
      </w:r>
      <w:r w:rsidR="00CB599F">
        <w:t>periods of near scarcity.</w:t>
      </w:r>
      <w:r w:rsidR="00A826A3">
        <w:rPr>
          <w:rStyle w:val="FootnoteReference"/>
        </w:rPr>
        <w:footnoteReference w:id="72"/>
      </w:r>
      <w:r>
        <w:t xml:space="preserve"> </w:t>
      </w:r>
      <w:r w:rsidR="00950571">
        <w:t>Accordingly</w:t>
      </w:r>
      <w:r>
        <w:t xml:space="preserve">, the PUCT should conduct additional analysis of market power, and implement </w:t>
      </w:r>
      <w:r w:rsidR="00950571">
        <w:t xml:space="preserve">any </w:t>
      </w:r>
      <w:r>
        <w:t xml:space="preserve">new tools </w:t>
      </w:r>
      <w:r w:rsidR="00950571">
        <w:t>needed</w:t>
      </w:r>
      <w:r>
        <w:t xml:space="preserve"> to mitigate </w:t>
      </w:r>
      <w:r w:rsidR="00950571">
        <w:t>such power</w:t>
      </w:r>
      <w:r>
        <w:t>, before adopting a design as novel as the PCM.</w:t>
      </w:r>
    </w:p>
    <w:p w14:paraId="0A920F4C" w14:textId="102ADB0F" w:rsidR="009644CE" w:rsidRDefault="009644CE">
      <w:pPr>
        <w:spacing w:after="0" w:line="276" w:lineRule="auto"/>
        <w:ind w:firstLine="0"/>
        <w:contextualSpacing w:val="0"/>
      </w:pPr>
      <w:bookmarkStart w:id="29" w:name="_Toc120445443"/>
      <w:bookmarkEnd w:id="29"/>
    </w:p>
    <w:p w14:paraId="3E72637F" w14:textId="136B88E8" w:rsidR="00F04A04" w:rsidRDefault="009644CE" w:rsidP="006469BF">
      <w:pPr>
        <w:spacing w:after="0"/>
        <w:ind w:firstLine="0"/>
      </w:pPr>
      <w:r>
        <w:t>Respectfully Submitted,</w:t>
      </w:r>
    </w:p>
    <w:p w14:paraId="504B7B9D" w14:textId="0A224000" w:rsidR="009644CE" w:rsidRPr="006469BF" w:rsidRDefault="009644CE" w:rsidP="006469BF">
      <w:pPr>
        <w:spacing w:after="0" w:line="240" w:lineRule="auto"/>
      </w:pPr>
      <w:r>
        <w:rPr>
          <w:u w:val="single"/>
        </w:rPr>
        <w:t>/s/ Christoph Graf</w:t>
      </w:r>
      <w:r w:rsidR="00485178" w:rsidRPr="006469BF">
        <w:tab/>
      </w:r>
      <w:r w:rsidR="00485178" w:rsidRPr="006469BF">
        <w:tab/>
      </w:r>
      <w:r w:rsidR="00485178" w:rsidRPr="006469BF">
        <w:tab/>
      </w:r>
      <w:r w:rsidR="00485178" w:rsidRPr="006469BF">
        <w:tab/>
      </w:r>
      <w:r w:rsidR="00485178" w:rsidRPr="001C4AC0">
        <w:rPr>
          <w:u w:val="single"/>
        </w:rPr>
        <w:t>/s/ Matthew Lifson</w:t>
      </w:r>
    </w:p>
    <w:p w14:paraId="299BE7A7" w14:textId="00AB8447" w:rsidR="009644CE" w:rsidRDefault="009644CE" w:rsidP="006469BF">
      <w:pPr>
        <w:spacing w:line="240" w:lineRule="auto"/>
      </w:pPr>
      <w:r>
        <w:t>Christoph Graf</w:t>
      </w:r>
      <w:r w:rsidR="00485178">
        <w:tab/>
      </w:r>
      <w:r w:rsidR="00485178">
        <w:tab/>
      </w:r>
      <w:r w:rsidR="00485178">
        <w:tab/>
      </w:r>
      <w:r w:rsidR="00485178">
        <w:tab/>
        <w:t>Matthew Lifson</w:t>
      </w:r>
    </w:p>
    <w:p w14:paraId="252B20D3" w14:textId="77777777" w:rsidR="00485178" w:rsidRDefault="009644CE" w:rsidP="006469BF">
      <w:pPr>
        <w:spacing w:line="240" w:lineRule="auto"/>
      </w:pPr>
      <w:r>
        <w:t>Senior Economist</w:t>
      </w:r>
      <w:r w:rsidR="00485178">
        <w:tab/>
      </w:r>
      <w:r w:rsidR="00485178">
        <w:tab/>
      </w:r>
      <w:r w:rsidR="00485178">
        <w:tab/>
      </w:r>
      <w:r w:rsidR="00485178">
        <w:tab/>
        <w:t>Legal Fellow</w:t>
      </w:r>
    </w:p>
    <w:p w14:paraId="618E4016" w14:textId="5B5D0A82" w:rsidR="009644CE" w:rsidRPr="006469BF" w:rsidRDefault="00000000" w:rsidP="006469BF">
      <w:pPr>
        <w:spacing w:after="0" w:line="240" w:lineRule="auto"/>
      </w:pPr>
      <w:hyperlink r:id="rId8" w:history="1">
        <w:r w:rsidR="00485178" w:rsidRPr="00797C2C">
          <w:rPr>
            <w:rStyle w:val="Hyperlink"/>
          </w:rPr>
          <w:t>christoph.graf@nyu.edu</w:t>
        </w:r>
      </w:hyperlink>
      <w:r w:rsidR="00485178">
        <w:tab/>
      </w:r>
      <w:r w:rsidR="00485178">
        <w:tab/>
      </w:r>
      <w:r w:rsidR="00485178">
        <w:tab/>
      </w:r>
      <w:hyperlink r:id="rId9" w:history="1">
        <w:r w:rsidR="00485178" w:rsidRPr="00797C2C">
          <w:rPr>
            <w:rStyle w:val="Hyperlink"/>
          </w:rPr>
          <w:t>matthew.lifson@nyu.edu</w:t>
        </w:r>
      </w:hyperlink>
      <w:r w:rsidR="00485178">
        <w:t xml:space="preserve"> </w:t>
      </w:r>
    </w:p>
    <w:p w14:paraId="34307D44" w14:textId="77777777" w:rsidR="009644CE" w:rsidRDefault="009644CE" w:rsidP="006469BF">
      <w:pPr>
        <w:spacing w:after="0" w:line="240" w:lineRule="auto"/>
        <w:rPr>
          <w:u w:val="single"/>
        </w:rPr>
      </w:pPr>
    </w:p>
    <w:p w14:paraId="0B1561CC" w14:textId="7103670C" w:rsidR="009644CE" w:rsidRPr="006469BF" w:rsidRDefault="009644CE" w:rsidP="006469BF">
      <w:pPr>
        <w:spacing w:line="240" w:lineRule="auto"/>
        <w:rPr>
          <w:u w:val="single"/>
        </w:rPr>
      </w:pPr>
      <w:r w:rsidRPr="006469BF">
        <w:rPr>
          <w:u w:val="single"/>
        </w:rPr>
        <w:t>/s/ Christopher Holt</w:t>
      </w:r>
      <w:r w:rsidR="00485178" w:rsidRPr="006469BF">
        <w:tab/>
      </w:r>
      <w:r w:rsidR="00485178" w:rsidRPr="006469BF">
        <w:tab/>
      </w:r>
      <w:r w:rsidR="00485178" w:rsidRPr="006469BF">
        <w:tab/>
      </w:r>
      <w:r w:rsidR="00485178" w:rsidRPr="006469BF">
        <w:tab/>
      </w:r>
      <w:r w:rsidR="00485178" w:rsidRPr="001C4AC0">
        <w:rPr>
          <w:u w:val="single"/>
        </w:rPr>
        <w:t>/s/ Burçin Ünel</w:t>
      </w:r>
    </w:p>
    <w:p w14:paraId="6042CFCF" w14:textId="0F48D56C" w:rsidR="009644CE" w:rsidRDefault="009644CE" w:rsidP="006469BF">
      <w:pPr>
        <w:spacing w:line="240" w:lineRule="auto"/>
      </w:pPr>
      <w:r>
        <w:t>Christopher Holt</w:t>
      </w:r>
      <w:r w:rsidR="00485178">
        <w:tab/>
      </w:r>
      <w:r w:rsidR="00485178">
        <w:tab/>
      </w:r>
      <w:r w:rsidR="00485178">
        <w:tab/>
      </w:r>
      <w:r w:rsidR="00485178">
        <w:tab/>
      </w:r>
      <w:r w:rsidR="00485178" w:rsidRPr="009644CE">
        <w:t>Burçin Ünel</w:t>
      </w:r>
    </w:p>
    <w:p w14:paraId="359060C2" w14:textId="77777777" w:rsidR="00485178" w:rsidRDefault="009644CE" w:rsidP="006469BF">
      <w:pPr>
        <w:spacing w:line="240" w:lineRule="auto"/>
      </w:pPr>
      <w:r>
        <w:t>Economic Fellow</w:t>
      </w:r>
      <w:r w:rsidR="00485178">
        <w:tab/>
      </w:r>
      <w:r w:rsidR="00485178">
        <w:tab/>
      </w:r>
      <w:r w:rsidR="00485178">
        <w:tab/>
      </w:r>
      <w:r w:rsidR="00485178">
        <w:tab/>
      </w:r>
      <w:r w:rsidR="00485178" w:rsidRPr="009644CE">
        <w:t>Interim Co-Executive Director</w:t>
      </w:r>
    </w:p>
    <w:p w14:paraId="72CF0F1F" w14:textId="3EFB6C5A" w:rsidR="00485178" w:rsidRPr="003051D7" w:rsidRDefault="00000000" w:rsidP="006469BF">
      <w:pPr>
        <w:spacing w:line="240" w:lineRule="auto"/>
      </w:pPr>
      <w:hyperlink r:id="rId10" w:history="1">
        <w:r w:rsidR="00485178" w:rsidRPr="00797C2C">
          <w:rPr>
            <w:rStyle w:val="Hyperlink"/>
          </w:rPr>
          <w:t>chris.holt@nyu.edu</w:t>
        </w:r>
      </w:hyperlink>
      <w:r w:rsidR="00485178">
        <w:tab/>
      </w:r>
      <w:r w:rsidR="00485178">
        <w:tab/>
      </w:r>
      <w:r w:rsidR="00485178">
        <w:tab/>
      </w:r>
      <w:r w:rsidR="00485178">
        <w:tab/>
      </w:r>
      <w:hyperlink r:id="rId11" w:history="1">
        <w:r w:rsidR="00485178" w:rsidRPr="00797C2C">
          <w:rPr>
            <w:rStyle w:val="Hyperlink"/>
          </w:rPr>
          <w:t>burcin.unel@nyu.edu</w:t>
        </w:r>
      </w:hyperlink>
      <w:r w:rsidR="00485178">
        <w:t xml:space="preserve"> </w:t>
      </w:r>
    </w:p>
    <w:p w14:paraId="3B69EDEF" w14:textId="62FCE7D3" w:rsidR="002A7864" w:rsidRDefault="002A7864" w:rsidP="006469BF">
      <w:pPr>
        <w:spacing w:after="0" w:line="240" w:lineRule="auto"/>
      </w:pPr>
    </w:p>
    <w:p w14:paraId="61F64209" w14:textId="77777777" w:rsidR="009644CE" w:rsidRDefault="009644CE" w:rsidP="006469BF">
      <w:pPr>
        <w:spacing w:after="0" w:line="240" w:lineRule="auto"/>
      </w:pPr>
    </w:p>
    <w:p w14:paraId="533D034E" w14:textId="77777777" w:rsidR="000D0A42" w:rsidRDefault="000D0A42">
      <w:pPr>
        <w:spacing w:after="0" w:line="276" w:lineRule="auto"/>
        <w:ind w:firstLine="0"/>
        <w:contextualSpacing w:val="0"/>
      </w:pPr>
      <w:r>
        <w:br w:type="page"/>
      </w:r>
    </w:p>
    <w:p w14:paraId="76F39771" w14:textId="33147F16" w:rsidR="002E706F" w:rsidRDefault="002E706F" w:rsidP="003431C9">
      <w:pPr>
        <w:spacing w:line="240" w:lineRule="auto"/>
        <w:ind w:firstLine="0"/>
        <w:jc w:val="center"/>
        <w:rPr>
          <w:b/>
          <w:bCs/>
        </w:rPr>
      </w:pPr>
      <w:r>
        <w:rPr>
          <w:b/>
          <w:bCs/>
        </w:rPr>
        <w:lastRenderedPageBreak/>
        <w:t xml:space="preserve">Executive Summary of </w:t>
      </w:r>
      <w:r w:rsidR="0050503C">
        <w:rPr>
          <w:b/>
          <w:bCs/>
        </w:rPr>
        <w:t xml:space="preserve">the Comments of </w:t>
      </w:r>
    </w:p>
    <w:p w14:paraId="3763EB28" w14:textId="7014440F" w:rsidR="0050503C" w:rsidRDefault="1E7EB1BF" w:rsidP="0050503C">
      <w:pPr>
        <w:spacing w:line="240" w:lineRule="auto"/>
        <w:ind w:firstLine="0"/>
        <w:jc w:val="center"/>
        <w:rPr>
          <w:b/>
          <w:bCs/>
        </w:rPr>
      </w:pPr>
      <w:r w:rsidRPr="1E7EB1BF">
        <w:rPr>
          <w:b/>
          <w:bCs/>
        </w:rPr>
        <w:t>the Institute for Policy Integrity at New York University School of Law</w:t>
      </w:r>
    </w:p>
    <w:p w14:paraId="02853741" w14:textId="77777777" w:rsidR="002A357A" w:rsidRDefault="002A357A" w:rsidP="003431C9">
      <w:pPr>
        <w:spacing w:line="240" w:lineRule="auto"/>
        <w:ind w:firstLine="0"/>
        <w:jc w:val="center"/>
        <w:rPr>
          <w:b/>
          <w:bCs/>
        </w:rPr>
      </w:pPr>
    </w:p>
    <w:p w14:paraId="6825DFCD" w14:textId="271950C6" w:rsidR="00F56884" w:rsidRDefault="008F45F4" w:rsidP="00707B30">
      <w:pPr>
        <w:pStyle w:val="ListParagraph"/>
        <w:numPr>
          <w:ilvl w:val="0"/>
          <w:numId w:val="39"/>
        </w:numPr>
        <w:spacing w:line="240" w:lineRule="auto"/>
      </w:pPr>
      <w:r>
        <w:t xml:space="preserve">S.B. 3 </w:t>
      </w:r>
      <w:r w:rsidR="00E012CA">
        <w:t xml:space="preserve">tasked the PUCT with procuring </w:t>
      </w:r>
      <w:r w:rsidR="00200667">
        <w:t xml:space="preserve">reliability services only after </w:t>
      </w:r>
      <w:r w:rsidR="00640392">
        <w:t xml:space="preserve">(1) </w:t>
      </w:r>
      <w:r w:rsidR="00707B30">
        <w:t xml:space="preserve">establishing </w:t>
      </w:r>
      <w:r w:rsidR="004E5A7C">
        <w:t>a reliability standard</w:t>
      </w:r>
      <w:r w:rsidR="00AE66A5">
        <w:t xml:space="preserve"> and</w:t>
      </w:r>
      <w:r w:rsidR="00640392">
        <w:t xml:space="preserve"> (2)</w:t>
      </w:r>
      <w:r w:rsidR="00AE66A5">
        <w:t xml:space="preserve"> determining the quantity and characteristics of the reliability services needed to </w:t>
      </w:r>
      <w:r w:rsidR="006B0D13">
        <w:t xml:space="preserve">meet that </w:t>
      </w:r>
      <w:r w:rsidR="00B06F7E">
        <w:t>standard</w:t>
      </w:r>
      <w:r w:rsidR="008874D7">
        <w:t xml:space="preserve">. At this point, </w:t>
      </w:r>
      <w:r w:rsidR="00D45B6D">
        <w:t xml:space="preserve">it is unclear whether </w:t>
      </w:r>
      <w:r w:rsidR="00903263">
        <w:t>ERCOT has a reliability problem that would just</w:t>
      </w:r>
      <w:r w:rsidR="00426D5A">
        <w:t xml:space="preserve">ify the </w:t>
      </w:r>
      <w:r w:rsidR="002662C1">
        <w:t xml:space="preserve">creation of a new reliability </w:t>
      </w:r>
      <w:r w:rsidR="000115A7">
        <w:t>mechanism</w:t>
      </w:r>
      <w:r w:rsidR="002662C1">
        <w:t>.</w:t>
      </w:r>
    </w:p>
    <w:p w14:paraId="5060A278" w14:textId="5F89E380" w:rsidR="002662C1" w:rsidRDefault="000115A7" w:rsidP="002662C1">
      <w:pPr>
        <w:pStyle w:val="ListParagraph"/>
        <w:numPr>
          <w:ilvl w:val="1"/>
          <w:numId w:val="39"/>
        </w:numPr>
        <w:spacing w:line="240" w:lineRule="auto"/>
      </w:pPr>
      <w:r>
        <w:t>ERCOT</w:t>
      </w:r>
      <w:r w:rsidR="007C7067">
        <w:t xml:space="preserve"> already po</w:t>
      </w:r>
      <w:r w:rsidR="00BE212A">
        <w:t>ssesses a reliability mechanism in the form of the ORDC</w:t>
      </w:r>
      <w:r w:rsidR="004542D3">
        <w:t xml:space="preserve">. The ORDC was recently altered in a way that may </w:t>
      </w:r>
      <w:r w:rsidR="00CF00E2">
        <w:t xml:space="preserve">have improved its ability to </w:t>
      </w:r>
      <w:r w:rsidR="004562ED">
        <w:t xml:space="preserve">promote reliability. </w:t>
      </w:r>
      <w:r w:rsidR="005F6360">
        <w:t>Until the effects of these</w:t>
      </w:r>
      <w:r w:rsidR="00C32244">
        <w:t xml:space="preserve"> and other</w:t>
      </w:r>
      <w:r w:rsidR="005F6360">
        <w:t xml:space="preserve"> changes</w:t>
      </w:r>
      <w:r w:rsidR="00C32244">
        <w:t>, such as the introduction of new products in the ancillary services market,</w:t>
      </w:r>
      <w:r w:rsidR="005F6360">
        <w:t xml:space="preserve"> </w:t>
      </w:r>
      <w:r w:rsidR="00585C76">
        <w:t xml:space="preserve">have </w:t>
      </w:r>
      <w:r w:rsidR="005F6360">
        <w:t xml:space="preserve">been </w:t>
      </w:r>
      <w:r w:rsidR="00585C76">
        <w:t xml:space="preserve">more carefully </w:t>
      </w:r>
      <w:r w:rsidR="005F6360">
        <w:t xml:space="preserve">studied, it </w:t>
      </w:r>
      <w:r w:rsidR="008935B0">
        <w:t>would be</w:t>
      </w:r>
      <w:r w:rsidR="005F6360">
        <w:t xml:space="preserve"> premature </w:t>
      </w:r>
      <w:r w:rsidR="00E81B52">
        <w:t xml:space="preserve">to </w:t>
      </w:r>
      <w:r w:rsidR="00B42D71">
        <w:t>launch a</w:t>
      </w:r>
      <w:r w:rsidR="00BB6D47">
        <w:t xml:space="preserve"> po</w:t>
      </w:r>
      <w:r w:rsidR="001F6B74">
        <w:t xml:space="preserve">tentially costly </w:t>
      </w:r>
      <w:r w:rsidR="001E21F3">
        <w:t>new reliability mechanism</w:t>
      </w:r>
      <w:r w:rsidR="00A27817">
        <w:t>.</w:t>
      </w:r>
      <w:r w:rsidR="001E21F3">
        <w:t xml:space="preserve"> </w:t>
      </w:r>
      <w:r w:rsidR="00A27817">
        <w:t>T</w:t>
      </w:r>
      <w:r w:rsidR="001E21F3">
        <w:t>he existing mechanism may be sufficient.</w:t>
      </w:r>
    </w:p>
    <w:p w14:paraId="126880B8" w14:textId="5F9A990C" w:rsidR="001E21F3" w:rsidRDefault="00A97985" w:rsidP="002662C1">
      <w:pPr>
        <w:pStyle w:val="ListParagraph"/>
        <w:numPr>
          <w:ilvl w:val="1"/>
          <w:numId w:val="39"/>
        </w:numPr>
        <w:spacing w:line="240" w:lineRule="auto"/>
      </w:pPr>
      <w:r>
        <w:t xml:space="preserve">Whether ERCOT has a reliability problem that would justify a new reliability </w:t>
      </w:r>
      <w:r w:rsidR="004417D9">
        <w:t xml:space="preserve">mechanism is </w:t>
      </w:r>
      <w:r w:rsidR="00CA7751">
        <w:t xml:space="preserve">a </w:t>
      </w:r>
      <w:r w:rsidR="004417D9">
        <w:t>separate question from whether ERCOT has a resilienc</w:t>
      </w:r>
      <w:r w:rsidR="00F552BD">
        <w:t>e</w:t>
      </w:r>
      <w:r w:rsidR="004417D9">
        <w:t xml:space="preserve"> problem</w:t>
      </w:r>
      <w:r w:rsidR="00961D15">
        <w:t xml:space="preserve"> that leaves it vulnerable to Uri-like conditions.</w:t>
      </w:r>
    </w:p>
    <w:p w14:paraId="616FC345" w14:textId="75A165F8" w:rsidR="00C37811" w:rsidRDefault="00C37811" w:rsidP="002662C1">
      <w:pPr>
        <w:pStyle w:val="ListParagraph"/>
        <w:numPr>
          <w:ilvl w:val="1"/>
          <w:numId w:val="39"/>
        </w:numPr>
        <w:spacing w:line="240" w:lineRule="auto"/>
      </w:pPr>
      <w:r>
        <w:t xml:space="preserve">The PUCT should not adopt a new reliability product until </w:t>
      </w:r>
      <w:r w:rsidR="00BA731E">
        <w:t xml:space="preserve">the reliability needs of ERCOT have been better studied. </w:t>
      </w:r>
    </w:p>
    <w:p w14:paraId="2EA3806F" w14:textId="5576E6F1" w:rsidR="00961D15" w:rsidRDefault="004945E3" w:rsidP="004945E3">
      <w:pPr>
        <w:pStyle w:val="ListParagraph"/>
        <w:numPr>
          <w:ilvl w:val="0"/>
          <w:numId w:val="39"/>
        </w:numPr>
        <w:spacing w:line="240" w:lineRule="auto"/>
      </w:pPr>
      <w:r>
        <w:t>If the PUCT does move forward with a new reliability mechanism, the PUCT</w:t>
      </w:r>
      <w:r w:rsidR="008E19F4">
        <w:t xml:space="preserve"> can best implement its </w:t>
      </w:r>
      <w:r w:rsidR="006637D4">
        <w:t xml:space="preserve">mandate to ensure just and reasonable rates by </w:t>
      </w:r>
      <w:r w:rsidR="00DB3C1B">
        <w:t xml:space="preserve">choosing </w:t>
      </w:r>
      <w:r w:rsidR="00DB50C8">
        <w:t xml:space="preserve">a design that accords with </w:t>
      </w:r>
      <w:r w:rsidR="00CF4311">
        <w:t>economic</w:t>
      </w:r>
      <w:r w:rsidR="00DB50C8">
        <w:t xml:space="preserve"> principles.</w:t>
      </w:r>
    </w:p>
    <w:p w14:paraId="1E122719" w14:textId="3FE0A77C" w:rsidR="00DB50C8" w:rsidRDefault="00A162FB" w:rsidP="00DB50C8">
      <w:pPr>
        <w:pStyle w:val="ListParagraph"/>
        <w:numPr>
          <w:ilvl w:val="1"/>
          <w:numId w:val="39"/>
        </w:numPr>
        <w:spacing w:line="240" w:lineRule="auto"/>
      </w:pPr>
      <w:r>
        <w:t xml:space="preserve">Any reliability mechanism should compensate both dispatchable and non-dispatchable </w:t>
      </w:r>
      <w:r w:rsidR="00F55052">
        <w:t xml:space="preserve">generation resources for their reliability value. If the reliability mechanism excludes non-dispatchable resources, the PUCT would force Texas consumers to overpay for </w:t>
      </w:r>
      <w:r w:rsidR="00193762">
        <w:t xml:space="preserve">reliability, because </w:t>
      </w:r>
      <w:r w:rsidR="0036769E">
        <w:t xml:space="preserve">non-dispatchable </w:t>
      </w:r>
      <w:r w:rsidR="00A560EB">
        <w:t>resources</w:t>
      </w:r>
      <w:r w:rsidR="0036769E">
        <w:t xml:space="preserve"> do provide some reliability value.</w:t>
      </w:r>
    </w:p>
    <w:p w14:paraId="5DD08AC1" w14:textId="4C84D1F1" w:rsidR="0036769E" w:rsidRDefault="002565A7" w:rsidP="00DB50C8">
      <w:pPr>
        <w:pStyle w:val="ListParagraph"/>
        <w:numPr>
          <w:ilvl w:val="1"/>
          <w:numId w:val="39"/>
        </w:numPr>
        <w:spacing w:line="240" w:lineRule="auto"/>
      </w:pPr>
      <w:r>
        <w:t xml:space="preserve">The penalty for </w:t>
      </w:r>
      <w:r w:rsidR="002A4E29">
        <w:t xml:space="preserve">failing to provide promised reliability should </w:t>
      </w:r>
      <w:r w:rsidR="00BC7C5B">
        <w:t xml:space="preserve">be set in proportion to </w:t>
      </w:r>
      <w:r w:rsidR="002F101F">
        <w:t xml:space="preserve">the value of reliability </w:t>
      </w:r>
      <w:r w:rsidR="007F02D5">
        <w:t xml:space="preserve">that </w:t>
      </w:r>
      <w:r w:rsidR="006D1D3D">
        <w:t xml:space="preserve">a generator fails </w:t>
      </w:r>
      <w:r w:rsidR="00D36FE0">
        <w:t>to deliver.</w:t>
      </w:r>
      <w:r w:rsidR="002A4E29">
        <w:t xml:space="preserve"> </w:t>
      </w:r>
      <w:r w:rsidR="003672D5">
        <w:t>But, a</w:t>
      </w:r>
      <w:r w:rsidR="00D36FE0">
        <w:t xml:space="preserve">s described in the E3 Report, </w:t>
      </w:r>
      <w:r w:rsidR="00E800FB">
        <w:t xml:space="preserve">it is unclear how the penalty in the PCM would function. </w:t>
      </w:r>
    </w:p>
    <w:p w14:paraId="4683F495" w14:textId="6050D2C4" w:rsidR="00362C2B" w:rsidRDefault="000D4988" w:rsidP="00DB50C8">
      <w:pPr>
        <w:pStyle w:val="ListParagraph"/>
        <w:numPr>
          <w:ilvl w:val="1"/>
          <w:numId w:val="39"/>
        </w:numPr>
        <w:spacing w:line="240" w:lineRule="auto"/>
      </w:pPr>
      <w:r>
        <w:t xml:space="preserve">A </w:t>
      </w:r>
      <w:r w:rsidR="006601E4">
        <w:t xml:space="preserve">new reliability mechanism has the potential to increase electricity </w:t>
      </w:r>
      <w:r w:rsidR="00F552BD">
        <w:t xml:space="preserve">costs </w:t>
      </w:r>
      <w:r w:rsidR="006601E4">
        <w:t xml:space="preserve">by creating uncertainty about the revenue from </w:t>
      </w:r>
      <w:r w:rsidR="00512456">
        <w:t xml:space="preserve">investing in generation resources. </w:t>
      </w:r>
      <w:r w:rsidR="003E5C1C">
        <w:t>The risk premia that investors may demand in light of this added uncertainty would be passed on to consumers. Relative to the other proposed designs, the PCM w</w:t>
      </w:r>
      <w:r w:rsidR="00670B8F">
        <w:t xml:space="preserve">ould </w:t>
      </w:r>
      <w:r w:rsidR="00511900">
        <w:t xml:space="preserve">increase uncertainty </w:t>
      </w:r>
      <w:r w:rsidR="00CF4311">
        <w:t xml:space="preserve">more </w:t>
      </w:r>
      <w:r w:rsidR="00511900">
        <w:t xml:space="preserve">and thus increase </w:t>
      </w:r>
      <w:r w:rsidR="00F552BD">
        <w:t>costs to consumers</w:t>
      </w:r>
      <w:r w:rsidR="00CF4311">
        <w:t xml:space="preserve"> more</w:t>
      </w:r>
      <w:r w:rsidR="00511900">
        <w:t xml:space="preserve">. </w:t>
      </w:r>
    </w:p>
    <w:p w14:paraId="16BB4FAD" w14:textId="3EAF8F68" w:rsidR="00511900" w:rsidRPr="00D04E5B" w:rsidRDefault="001E3598" w:rsidP="003431C9">
      <w:pPr>
        <w:pStyle w:val="ListParagraph"/>
        <w:numPr>
          <w:ilvl w:val="1"/>
          <w:numId w:val="39"/>
        </w:numPr>
        <w:spacing w:line="240" w:lineRule="auto"/>
      </w:pPr>
      <w:r w:rsidRPr="003431C9">
        <w:t xml:space="preserve">The PCM would create new </w:t>
      </w:r>
      <w:r w:rsidR="00D04E5B" w:rsidRPr="003431C9">
        <w:t>opportunities</w:t>
      </w:r>
      <w:r w:rsidR="009248D2" w:rsidRPr="003431C9">
        <w:t xml:space="preserve"> </w:t>
      </w:r>
      <w:r w:rsidR="00D04E5B" w:rsidRPr="003431C9">
        <w:t xml:space="preserve">for the </w:t>
      </w:r>
      <w:r w:rsidR="00F552BD">
        <w:t xml:space="preserve">exercise </w:t>
      </w:r>
      <w:r w:rsidR="00D04E5B">
        <w:t xml:space="preserve">of market power. </w:t>
      </w:r>
      <w:r w:rsidR="006E5468">
        <w:t xml:space="preserve">Because the PCM is a never-before-tried market </w:t>
      </w:r>
      <w:r w:rsidR="008D7D41">
        <w:t>design</w:t>
      </w:r>
      <w:r w:rsidR="006E5468">
        <w:t>, and because t</w:t>
      </w:r>
      <w:r w:rsidR="00D04E5B">
        <w:t xml:space="preserve">his </w:t>
      </w:r>
      <w:r w:rsidR="006E5468">
        <w:t xml:space="preserve">market-power </w:t>
      </w:r>
      <w:r w:rsidR="00D04E5B">
        <w:t xml:space="preserve">issue has been understudied thus far, </w:t>
      </w:r>
      <w:r w:rsidR="00D467DC">
        <w:t xml:space="preserve">the PCM should not be implemented until </w:t>
      </w:r>
      <w:r w:rsidR="00CF6440">
        <w:t xml:space="preserve">the possibility of including additional </w:t>
      </w:r>
      <w:r w:rsidR="00CF4311">
        <w:t xml:space="preserve">market-power </w:t>
      </w:r>
      <w:r w:rsidR="00D35AD5">
        <w:t xml:space="preserve">mitigation measures </w:t>
      </w:r>
      <w:r w:rsidR="00CF6440">
        <w:t xml:space="preserve">has been </w:t>
      </w:r>
      <w:r w:rsidR="00724C77">
        <w:t>analyzed</w:t>
      </w:r>
      <w:r w:rsidR="00D35AD5">
        <w:t xml:space="preserve">. </w:t>
      </w:r>
    </w:p>
    <w:sectPr w:rsidR="00511900" w:rsidRPr="00D04E5B">
      <w:headerReference w:type="default" r:id="rId12"/>
      <w:footerReference w:type="even" r:id="rId13"/>
      <w:footerReference w:type="default" r:id="rId14"/>
      <w:footerReference w:type="first" r:id="rId15"/>
      <w:pgSz w:w="12240" w:h="15840"/>
      <w:pgMar w:top="1440" w:right="1440" w:bottom="1440" w:left="1440" w:header="720" w:footer="720" w:gutter="0"/>
      <w:pgNumType w:start="1"/>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83949" w14:textId="77777777" w:rsidR="00E04758" w:rsidRDefault="00E04758" w:rsidP="00277B2D">
      <w:r>
        <w:separator/>
      </w:r>
    </w:p>
    <w:p w14:paraId="078AA188" w14:textId="77777777" w:rsidR="00E04758" w:rsidRDefault="00E04758" w:rsidP="00277B2D"/>
  </w:endnote>
  <w:endnote w:type="continuationSeparator" w:id="0">
    <w:p w14:paraId="40AA1640" w14:textId="77777777" w:rsidR="00E04758" w:rsidRDefault="00E04758" w:rsidP="00277B2D">
      <w:r>
        <w:continuationSeparator/>
      </w:r>
    </w:p>
    <w:p w14:paraId="582474EF" w14:textId="77777777" w:rsidR="00E04758" w:rsidRDefault="00E04758" w:rsidP="00277B2D"/>
  </w:endnote>
  <w:endnote w:type="continuationNotice" w:id="1">
    <w:p w14:paraId="5F110467" w14:textId="77777777" w:rsidR="00E04758" w:rsidRDefault="00E047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no Pro">
    <w:altName w:val="Cambria"/>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96239327"/>
      <w:docPartObj>
        <w:docPartGallery w:val="Page Numbers (Bottom of Page)"/>
        <w:docPartUnique/>
      </w:docPartObj>
    </w:sdtPr>
    <w:sdtContent>
      <w:p w14:paraId="21115024" w14:textId="121A1CA9" w:rsidR="002960DB" w:rsidRDefault="002960DB" w:rsidP="00BF20B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61D73C" w14:textId="77777777" w:rsidR="002960DB" w:rsidRDefault="00296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2235163"/>
      <w:docPartObj>
        <w:docPartGallery w:val="Page Numbers (Bottom of Page)"/>
        <w:docPartUnique/>
      </w:docPartObj>
    </w:sdtPr>
    <w:sdtContent>
      <w:p w14:paraId="0FCE4D1A" w14:textId="3C450039" w:rsidR="00BF20B8" w:rsidRDefault="00BF20B8" w:rsidP="00BF20B8">
        <w:pPr>
          <w:pStyle w:val="Footer"/>
          <w:framePr w:wrap="none" w:vAnchor="text" w:hAnchor="margin" w:xAlign="center" w:y="1"/>
          <w:ind w:firstLine="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250A20E" w14:textId="3FC643BB" w:rsidR="002960DB" w:rsidRDefault="002960DB" w:rsidP="00BF20B8">
    <w:pPr>
      <w:pStyle w:val="Footer"/>
      <w:framePr w:wrap="none" w:vAnchor="text" w:hAnchor="margin" w:xAlign="center" w:y="1"/>
      <w:ind w:firstLine="0"/>
      <w:rPr>
        <w:rStyle w:val="PageNumber"/>
      </w:rPr>
    </w:pPr>
  </w:p>
  <w:p w14:paraId="40B71E91" w14:textId="6F099503" w:rsidR="002960DB" w:rsidRDefault="002960DB" w:rsidP="00BF20B8">
    <w:pPr>
      <w:pStyle w:val="Footer"/>
      <w:tabs>
        <w:tab w:val="clear" w:pos="4680"/>
        <w:tab w:val="clear" w:pos="9360"/>
        <w:tab w:val="left" w:pos="5240"/>
      </w:tabs>
      <w:ind w:hanging="14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2960DB" w14:paraId="05E27624" w14:textId="77777777" w:rsidTr="00660B89">
      <w:trPr>
        <w:trHeight w:val="300"/>
      </w:trPr>
      <w:tc>
        <w:tcPr>
          <w:tcW w:w="3120" w:type="dxa"/>
        </w:tcPr>
        <w:p w14:paraId="4F46FDA3" w14:textId="01713B98" w:rsidR="002960DB" w:rsidRDefault="002960DB" w:rsidP="00660B89">
          <w:pPr>
            <w:pStyle w:val="Header"/>
            <w:ind w:left="-115"/>
          </w:pPr>
        </w:p>
      </w:tc>
      <w:tc>
        <w:tcPr>
          <w:tcW w:w="3120" w:type="dxa"/>
        </w:tcPr>
        <w:p w14:paraId="53D04730" w14:textId="01BDF82F" w:rsidR="002960DB" w:rsidRDefault="002960DB" w:rsidP="00660B89">
          <w:pPr>
            <w:pStyle w:val="Header"/>
            <w:jc w:val="center"/>
          </w:pPr>
        </w:p>
      </w:tc>
      <w:tc>
        <w:tcPr>
          <w:tcW w:w="3120" w:type="dxa"/>
        </w:tcPr>
        <w:p w14:paraId="719F1255" w14:textId="344A033E" w:rsidR="002960DB" w:rsidRDefault="002960DB" w:rsidP="00660B89">
          <w:pPr>
            <w:pStyle w:val="Header"/>
            <w:ind w:right="-115"/>
            <w:jc w:val="right"/>
          </w:pPr>
        </w:p>
      </w:tc>
    </w:tr>
  </w:tbl>
  <w:p w14:paraId="18DFD92C" w14:textId="04978C4B" w:rsidR="002960DB" w:rsidRDefault="00296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EE4DA" w14:textId="77777777" w:rsidR="00E04758" w:rsidRDefault="00E04758" w:rsidP="00277B2D">
      <w:r>
        <w:separator/>
      </w:r>
    </w:p>
  </w:footnote>
  <w:footnote w:type="continuationSeparator" w:id="0">
    <w:p w14:paraId="5C612E09" w14:textId="77777777" w:rsidR="00E04758" w:rsidRDefault="00E04758" w:rsidP="00277B2D">
      <w:r>
        <w:continuationSeparator/>
      </w:r>
    </w:p>
    <w:p w14:paraId="173003DC" w14:textId="77777777" w:rsidR="00E04758" w:rsidRDefault="00E04758" w:rsidP="00277B2D"/>
  </w:footnote>
  <w:footnote w:type="continuationNotice" w:id="1">
    <w:p w14:paraId="29A1EAD4" w14:textId="77777777" w:rsidR="00E04758" w:rsidRDefault="00E04758">
      <w:pPr>
        <w:spacing w:after="0" w:line="240" w:lineRule="auto"/>
      </w:pPr>
    </w:p>
  </w:footnote>
  <w:footnote w:id="2">
    <w:p w14:paraId="6A7D7E3D" w14:textId="77777777" w:rsidR="002960DB" w:rsidRPr="002C0C5F" w:rsidRDefault="002960DB" w:rsidP="000156B3">
      <w:pPr>
        <w:pStyle w:val="FootnoteText"/>
        <w:ind w:firstLine="0"/>
        <w:rPr>
          <w:lang w:val="en-US"/>
        </w:rPr>
      </w:pPr>
      <w:r>
        <w:rPr>
          <w:rStyle w:val="FootnoteReference"/>
        </w:rPr>
        <w:footnoteRef/>
      </w:r>
      <w:r>
        <w:t xml:space="preserve"> </w:t>
      </w:r>
      <w:r w:rsidRPr="00F306E0">
        <w:t>These comments do not purport to represent the views, if any, of New York University School of Law.</w:t>
      </w:r>
    </w:p>
  </w:footnote>
  <w:footnote w:id="3">
    <w:p w14:paraId="6B60E57D" w14:textId="77777777" w:rsidR="002960DB" w:rsidRPr="00F33EBC" w:rsidRDefault="002960DB" w:rsidP="000156B3">
      <w:pPr>
        <w:pStyle w:val="FootnoteText"/>
        <w:ind w:firstLine="0"/>
      </w:pPr>
      <w:r>
        <w:rPr>
          <w:rStyle w:val="FootnoteReference"/>
        </w:rPr>
        <w:footnoteRef/>
      </w:r>
      <w:r>
        <w:t xml:space="preserve"> </w:t>
      </w:r>
      <w:r>
        <w:rPr>
          <w:i/>
          <w:iCs/>
        </w:rPr>
        <w:t>E.g.</w:t>
      </w:r>
      <w:r>
        <w:t xml:space="preserve">, </w:t>
      </w:r>
      <w:r w:rsidRPr="00F33EBC">
        <w:rPr>
          <w:smallCaps/>
        </w:rPr>
        <w:t>Sylwia Bialek et al.</w:t>
      </w:r>
      <w:r>
        <w:t xml:space="preserve">, </w:t>
      </w:r>
      <w:r w:rsidRPr="0067529C">
        <w:rPr>
          <w:smallCaps/>
        </w:rPr>
        <w:t>Institute for Policy Integrity</w:t>
      </w:r>
      <w:r>
        <w:t xml:space="preserve">, </w:t>
      </w:r>
      <w:r w:rsidRPr="0067529C">
        <w:rPr>
          <w:smallCaps/>
        </w:rPr>
        <w:t>Resource Adequacy in a Decarbonized Future: Wholesale Market Design Options and Considerations</w:t>
      </w:r>
      <w:r>
        <w:t xml:space="preserve"> 33 (2021), </w:t>
      </w:r>
      <w:hyperlink r:id="rId1" w:history="1">
        <w:r w:rsidRPr="00C37F19">
          <w:rPr>
            <w:rStyle w:val="Hyperlink"/>
          </w:rPr>
          <w:t>https://policyintegrity.org/files/publications/Resource_Adequacy_in_a_Decarbonized_Future.pdf</w:t>
        </w:r>
      </w:hyperlink>
      <w:r>
        <w:t xml:space="preserve"> (last visited Dec. 14, 2022); </w:t>
      </w:r>
      <w:r w:rsidRPr="00760C50">
        <w:t>Sylwia</w:t>
      </w:r>
      <w:r>
        <w:t xml:space="preserve"> </w:t>
      </w:r>
      <w:r w:rsidRPr="00760C50">
        <w:t>Bialek</w:t>
      </w:r>
      <w:r>
        <w:t xml:space="preserve"> &amp; </w:t>
      </w:r>
      <w:r w:rsidRPr="00095C33">
        <w:t>Burçin Ünel</w:t>
      </w:r>
      <w:r>
        <w:t xml:space="preserve">, </w:t>
      </w:r>
      <w:r w:rsidRPr="00F206F1">
        <w:rPr>
          <w:i/>
          <w:iCs/>
        </w:rPr>
        <w:t xml:space="preserve">Will </w:t>
      </w:r>
      <w:r>
        <w:rPr>
          <w:i/>
          <w:iCs/>
        </w:rPr>
        <w:t>Y</w:t>
      </w:r>
      <w:r w:rsidRPr="00F206F1">
        <w:rPr>
          <w:i/>
          <w:iCs/>
        </w:rPr>
        <w:t xml:space="preserve">ou </w:t>
      </w:r>
      <w:r>
        <w:rPr>
          <w:i/>
          <w:iCs/>
        </w:rPr>
        <w:t>B</w:t>
      </w:r>
      <w:r w:rsidRPr="00F206F1">
        <w:rPr>
          <w:i/>
          <w:iCs/>
        </w:rPr>
        <w:t xml:space="preserve">e </w:t>
      </w:r>
      <w:r>
        <w:rPr>
          <w:i/>
          <w:iCs/>
        </w:rPr>
        <w:t>T</w:t>
      </w:r>
      <w:r w:rsidRPr="00F206F1">
        <w:rPr>
          <w:i/>
          <w:iCs/>
        </w:rPr>
        <w:t xml:space="preserve">here for </w:t>
      </w:r>
      <w:r>
        <w:rPr>
          <w:i/>
          <w:iCs/>
        </w:rPr>
        <w:t>M</w:t>
      </w:r>
      <w:r w:rsidRPr="00F206F1">
        <w:rPr>
          <w:i/>
          <w:iCs/>
        </w:rPr>
        <w:t xml:space="preserve">e the </w:t>
      </w:r>
      <w:r>
        <w:rPr>
          <w:i/>
          <w:iCs/>
        </w:rPr>
        <w:t>W</w:t>
      </w:r>
      <w:r w:rsidRPr="00F206F1">
        <w:rPr>
          <w:i/>
          <w:iCs/>
        </w:rPr>
        <w:t xml:space="preserve">hole </w:t>
      </w:r>
      <w:r>
        <w:rPr>
          <w:i/>
          <w:iCs/>
        </w:rPr>
        <w:t>T</w:t>
      </w:r>
      <w:r w:rsidRPr="00F206F1">
        <w:rPr>
          <w:i/>
          <w:iCs/>
        </w:rPr>
        <w:t xml:space="preserve">ime? On the </w:t>
      </w:r>
      <w:r>
        <w:rPr>
          <w:i/>
          <w:iCs/>
        </w:rPr>
        <w:t>I</w:t>
      </w:r>
      <w:r w:rsidRPr="00F206F1">
        <w:rPr>
          <w:i/>
          <w:iCs/>
        </w:rPr>
        <w:t xml:space="preserve">mportance of </w:t>
      </w:r>
      <w:r>
        <w:rPr>
          <w:i/>
          <w:iCs/>
        </w:rPr>
        <w:t>O</w:t>
      </w:r>
      <w:r w:rsidRPr="00F206F1">
        <w:rPr>
          <w:i/>
          <w:iCs/>
        </w:rPr>
        <w:t xml:space="preserve">bligation </w:t>
      </w:r>
      <w:r>
        <w:rPr>
          <w:i/>
          <w:iCs/>
        </w:rPr>
        <w:t>P</w:t>
      </w:r>
      <w:r w:rsidRPr="00F206F1">
        <w:rPr>
          <w:i/>
          <w:iCs/>
        </w:rPr>
        <w:t xml:space="preserve">eriods in </w:t>
      </w:r>
      <w:r>
        <w:rPr>
          <w:i/>
          <w:iCs/>
        </w:rPr>
        <w:t>D</w:t>
      </w:r>
      <w:r w:rsidRPr="00F206F1">
        <w:rPr>
          <w:i/>
          <w:iCs/>
        </w:rPr>
        <w:t xml:space="preserve">esign of </w:t>
      </w:r>
      <w:r>
        <w:rPr>
          <w:i/>
          <w:iCs/>
        </w:rPr>
        <w:t>C</w:t>
      </w:r>
      <w:r w:rsidRPr="00F206F1">
        <w:rPr>
          <w:i/>
          <w:iCs/>
        </w:rPr>
        <w:t xml:space="preserve">apacity </w:t>
      </w:r>
      <w:r>
        <w:rPr>
          <w:i/>
          <w:iCs/>
        </w:rPr>
        <w:t>M</w:t>
      </w:r>
      <w:r w:rsidRPr="00F206F1">
        <w:rPr>
          <w:i/>
          <w:iCs/>
        </w:rPr>
        <w:t>arkets</w:t>
      </w:r>
      <w:r>
        <w:t xml:space="preserve">, 32(2) </w:t>
      </w:r>
      <w:r w:rsidRPr="00F206F1">
        <w:rPr>
          <w:smallCaps/>
        </w:rPr>
        <w:t>Elec. J.</w:t>
      </w:r>
      <w:r>
        <w:t xml:space="preserve"> 21 (2019); </w:t>
      </w:r>
      <w:r w:rsidRPr="00F33EBC">
        <w:rPr>
          <w:smallCaps/>
        </w:rPr>
        <w:t>Burçin Ünel &amp; Avi Zevin</w:t>
      </w:r>
      <w:r w:rsidRPr="00A4271D">
        <w:t xml:space="preserve">, </w:t>
      </w:r>
      <w:r w:rsidRPr="00A4271D">
        <w:rPr>
          <w:smallCaps/>
        </w:rPr>
        <w:t>Institute for Policy Integrity</w:t>
      </w:r>
      <w:r w:rsidRPr="00A4271D">
        <w:t xml:space="preserve">, </w:t>
      </w:r>
      <w:r w:rsidRPr="00A4271D">
        <w:rPr>
          <w:smallCaps/>
        </w:rPr>
        <w:t>Toward Resilience: Defining, Measuring, and Monetizing Resilience in the Electricity System</w:t>
      </w:r>
      <w:r w:rsidRPr="00A4271D">
        <w:t xml:space="preserve"> 12 (2018)</w:t>
      </w:r>
      <w:r>
        <w:t xml:space="preserve">, </w:t>
      </w:r>
      <w:hyperlink r:id="rId2" w:history="1">
        <w:r w:rsidRPr="00C37F19">
          <w:rPr>
            <w:rStyle w:val="Hyperlink"/>
          </w:rPr>
          <w:t>https://policyintegrity.org/files/publications/Toward_Resilience.pdf</w:t>
        </w:r>
      </w:hyperlink>
      <w:r>
        <w:t xml:space="preserve"> (last visited Dec. 14, 2022). </w:t>
      </w:r>
    </w:p>
  </w:footnote>
  <w:footnote w:id="4">
    <w:p w14:paraId="7670AB1C" w14:textId="0D64A1E2" w:rsidR="002960DB" w:rsidRPr="00BD61D4" w:rsidRDefault="002960DB" w:rsidP="003F423D">
      <w:pPr>
        <w:pStyle w:val="FootnoteText"/>
        <w:ind w:firstLine="0"/>
        <w:rPr>
          <w:lang w:val="en-US"/>
        </w:rPr>
      </w:pPr>
      <w:r>
        <w:rPr>
          <w:rStyle w:val="FootnoteReference"/>
        </w:rPr>
        <w:footnoteRef/>
      </w:r>
      <w:r>
        <w:t xml:space="preserve"> </w:t>
      </w:r>
      <w:r w:rsidRPr="00A4271D">
        <w:t>Tex. Util. Code Ann. § 39.159(b)(1)</w:t>
      </w:r>
      <w:r>
        <w:t xml:space="preserve"> </w:t>
      </w:r>
      <w:r w:rsidRPr="00A4271D">
        <w:t>(West 2022); 2021 Tex. Sess. Law. Serv. Ch. 426 (West) (text of S.B. 3).</w:t>
      </w:r>
    </w:p>
  </w:footnote>
  <w:footnote w:id="5">
    <w:p w14:paraId="763FB4AE" w14:textId="392C8D6B" w:rsidR="002960DB" w:rsidRPr="00A4271D" w:rsidRDefault="002960DB" w:rsidP="009B7594">
      <w:pPr>
        <w:pStyle w:val="FootnoteText"/>
        <w:spacing w:after="0"/>
        <w:ind w:firstLine="0"/>
      </w:pPr>
      <w:r w:rsidRPr="00CC1726">
        <w:rPr>
          <w:rStyle w:val="FootnoteReference"/>
        </w:rPr>
        <w:footnoteRef/>
      </w:r>
      <w:r w:rsidRPr="00CC1726">
        <w:t xml:space="preserve"> </w:t>
      </w:r>
      <w:r w:rsidRPr="00A4271D">
        <w:t>Tex. Util. Code Ann. § 39.159(b)(</w:t>
      </w:r>
      <w:r>
        <w:t>2</w:t>
      </w:r>
      <w:r w:rsidRPr="00A4271D">
        <w:t>)</w:t>
      </w:r>
      <w:r>
        <w:t>–</w:t>
      </w:r>
      <w:r w:rsidRPr="00A4271D">
        <w:t>(3)</w:t>
      </w:r>
      <w:r>
        <w:t>.</w:t>
      </w:r>
    </w:p>
  </w:footnote>
  <w:footnote w:id="6">
    <w:p w14:paraId="05035BB2" w14:textId="4241D915" w:rsidR="002960DB" w:rsidRPr="00A4271D" w:rsidRDefault="002960DB" w:rsidP="009B7594">
      <w:pPr>
        <w:pStyle w:val="FootnoteText"/>
        <w:spacing w:after="0"/>
        <w:ind w:firstLine="0"/>
        <w:rPr>
          <w:lang w:val="en-US"/>
        </w:rPr>
      </w:pPr>
      <w:r w:rsidRPr="00A4271D">
        <w:rPr>
          <w:rStyle w:val="FootnoteReference"/>
        </w:rPr>
        <w:footnoteRef/>
      </w:r>
      <w:r w:rsidRPr="00A4271D">
        <w:t xml:space="preserve"> </w:t>
      </w:r>
      <w:r w:rsidRPr="00C0085D">
        <w:rPr>
          <w:smallCaps/>
        </w:rPr>
        <w:t>Zach Ming et al.</w:t>
      </w:r>
      <w:r w:rsidRPr="00A4271D">
        <w:t xml:space="preserve">, </w:t>
      </w:r>
      <w:r w:rsidRPr="00A4271D">
        <w:rPr>
          <w:smallCaps/>
        </w:rPr>
        <w:t>E3</w:t>
      </w:r>
      <w:r w:rsidRPr="00A4271D">
        <w:t xml:space="preserve">, </w:t>
      </w:r>
      <w:r w:rsidRPr="00A4271D">
        <w:rPr>
          <w:smallCaps/>
        </w:rPr>
        <w:t xml:space="preserve">Assessment of Market Reform Options to Enhance Reliability of the ERCOT System </w:t>
      </w:r>
      <w:r>
        <w:rPr>
          <w:smallCaps/>
        </w:rPr>
        <w:t xml:space="preserve">1, </w:t>
      </w:r>
      <w:r w:rsidRPr="00A4271D">
        <w:t>7–10, 13</w:t>
      </w:r>
      <w:r>
        <w:t xml:space="preserve"> [</w:t>
      </w:r>
      <w:r w:rsidRPr="00B852E0">
        <w:t>hereinafter</w:t>
      </w:r>
      <w:r>
        <w:rPr>
          <w:i/>
          <w:iCs/>
        </w:rPr>
        <w:t xml:space="preserve"> </w:t>
      </w:r>
      <w:r w:rsidRPr="00456249">
        <w:rPr>
          <w:smallCaps/>
        </w:rPr>
        <w:t>E3 Report</w:t>
      </w:r>
      <w:r>
        <w:t>].</w:t>
      </w:r>
    </w:p>
  </w:footnote>
  <w:footnote w:id="7">
    <w:p w14:paraId="70235959" w14:textId="01F07168" w:rsidR="002960DB" w:rsidRPr="00215603" w:rsidRDefault="002960DB" w:rsidP="009B7594">
      <w:pPr>
        <w:pStyle w:val="FootnoteText"/>
        <w:ind w:firstLine="0"/>
        <w:rPr>
          <w:i/>
          <w:lang w:val="en-US"/>
        </w:rPr>
      </w:pPr>
      <w:r>
        <w:rPr>
          <w:rStyle w:val="FootnoteReference"/>
        </w:rPr>
        <w:footnoteRef/>
      </w:r>
      <w:r>
        <w:t xml:space="preserve"> </w:t>
      </w:r>
      <w:r w:rsidRPr="00B870EA">
        <w:t xml:space="preserve">In </w:t>
      </w:r>
      <w:r>
        <w:t>brief</w:t>
      </w:r>
      <w:r w:rsidRPr="00B870EA">
        <w:t>, the PCM would impos</w:t>
      </w:r>
      <w:r>
        <w:t>e</w:t>
      </w:r>
      <w:r w:rsidRPr="00B870EA">
        <w:t xml:space="preserve"> an obligation on Load-Serving Entities to procure performance credits proportionate to their share of demand during the </w:t>
      </w:r>
      <w:r>
        <w:t>highest-risk hours for the grid. Those hours would be assessed retrospectively at the end of each compliance period. Performance credits would be distributed to generators that</w:t>
      </w:r>
      <w:r w:rsidR="00CE0EF0">
        <w:t xml:space="preserve"> </w:t>
      </w:r>
      <w:r>
        <w:t>offered into the energy or ancillary services market during those same hours. The value of credits would be determined based on the amount of generation that was made available (offered) during those hours and an administratively set demand curve, with a relatively higher value assigned to performance credits when relatively little generation was made available</w:t>
      </w:r>
      <w:r w:rsidR="00935C03">
        <w:t>.</w:t>
      </w:r>
      <w:r>
        <w:t xml:space="preserve"> In advance of each compliance period, a forward market would exist to allow generators and Load-Serving Entities to make offers to buy and sell performance credit obligations, respectively, using ERCOT as a clearing house. In addition, there would be a penalty for offering to sell credits in the forward market and then failing to create those credits during the highest-risk hours.</w:t>
      </w:r>
    </w:p>
  </w:footnote>
  <w:footnote w:id="8">
    <w:p w14:paraId="5319BE3A" w14:textId="59E1132B" w:rsidR="002960DB" w:rsidRPr="00352AB4" w:rsidRDefault="002960DB" w:rsidP="00EC0606">
      <w:pPr>
        <w:pStyle w:val="FootnoteText"/>
        <w:ind w:firstLine="0"/>
        <w:rPr>
          <w:lang w:val="en-US"/>
        </w:rPr>
      </w:pPr>
      <w:r>
        <w:rPr>
          <w:rStyle w:val="FootnoteReference"/>
        </w:rPr>
        <w:footnoteRef/>
      </w:r>
      <w:r>
        <w:t xml:space="preserve"> </w:t>
      </w:r>
      <w:r w:rsidRPr="002C5DC1">
        <w:t>Tex. Util. Code Ann. § 39.159</w:t>
      </w:r>
      <w:r>
        <w:t>(b)(1)–(2).</w:t>
      </w:r>
    </w:p>
  </w:footnote>
  <w:footnote w:id="9">
    <w:p w14:paraId="12208A26" w14:textId="06C0503E" w:rsidR="002960DB" w:rsidRPr="00352AB4" w:rsidRDefault="002960DB" w:rsidP="00352AB4">
      <w:pPr>
        <w:pStyle w:val="FootnoteText"/>
        <w:spacing w:after="0"/>
        <w:ind w:firstLine="0"/>
        <w:rPr>
          <w:lang w:val="en-US"/>
        </w:rPr>
      </w:pPr>
      <w:r>
        <w:rPr>
          <w:rStyle w:val="FootnoteReference"/>
        </w:rPr>
        <w:footnoteRef/>
      </w:r>
      <w:r>
        <w:t xml:space="preserve"> </w:t>
      </w:r>
      <w:r>
        <w:rPr>
          <w:i/>
        </w:rPr>
        <w:t xml:space="preserve">Id. </w:t>
      </w:r>
      <w:r w:rsidRPr="002C5DC1">
        <w:t>§ 39.159</w:t>
      </w:r>
      <w:r>
        <w:t xml:space="preserve">(b)(3); </w:t>
      </w:r>
      <w:r>
        <w:rPr>
          <w:i/>
        </w:rPr>
        <w:t xml:space="preserve">accord </w:t>
      </w:r>
      <w:r w:rsidRPr="002E1F0D">
        <w:rPr>
          <w:i/>
          <w:lang w:val="en-US"/>
        </w:rPr>
        <w:t xml:space="preserve">Hearing on </w:t>
      </w:r>
      <w:r>
        <w:rPr>
          <w:i/>
          <w:lang w:val="en-US"/>
        </w:rPr>
        <w:t xml:space="preserve">Assessing the Elec. Market in Tex. Before the S. Comm. on Bus. &amp; Com. </w:t>
      </w:r>
      <w:r w:rsidRPr="002E1F0D">
        <w:rPr>
          <w:lang w:val="en-US"/>
        </w:rPr>
        <w:t xml:space="preserve">2022 Leg., 87th Sess. at </w:t>
      </w:r>
      <w:r>
        <w:rPr>
          <w:lang w:val="en-US"/>
        </w:rPr>
        <w:t xml:space="preserve">20:05 (statement of Chairman </w:t>
      </w:r>
      <w:r>
        <w:t xml:space="preserve">Schwertner that the relevant portion of S.B. 3 “starts with setting a reliability standard” and then “obtaining reliability, ancillary services, or a product or changes in the market that would incent the market to adjust to that reliability standard,” and that this is a “stepwise . . . blueprint for the PUC to have followed”). </w:t>
      </w:r>
    </w:p>
  </w:footnote>
  <w:footnote w:id="10">
    <w:p w14:paraId="748A9578" w14:textId="11177914" w:rsidR="002960DB" w:rsidRPr="00B30C78" w:rsidRDefault="002960DB" w:rsidP="004A542F">
      <w:pPr>
        <w:pStyle w:val="FootnoteText"/>
        <w:ind w:firstLine="0"/>
      </w:pPr>
      <w:r>
        <w:rPr>
          <w:rStyle w:val="FootnoteReference"/>
        </w:rPr>
        <w:footnoteRef/>
      </w:r>
      <w:r>
        <w:t xml:space="preserve"> Letter from Sen. Charles Schwertner, Chairman, Sen. Comm. on Bus. &amp; Com., et al., to Peter Lake, Chairman, Pub. Util. Comm., et al. (Dec. 1, 2022). </w:t>
      </w:r>
    </w:p>
  </w:footnote>
  <w:footnote w:id="11">
    <w:p w14:paraId="2C5803BC" w14:textId="49FDCE03" w:rsidR="002960DB" w:rsidRPr="00E86709" w:rsidRDefault="002960DB" w:rsidP="009B7594">
      <w:pPr>
        <w:pStyle w:val="FootnoteText"/>
        <w:ind w:firstLine="0"/>
        <w:rPr>
          <w:lang w:val="en-US"/>
        </w:rPr>
      </w:pPr>
      <w:r>
        <w:rPr>
          <w:rStyle w:val="FootnoteReference"/>
        </w:rPr>
        <w:footnoteRef/>
      </w:r>
      <w:r>
        <w:t xml:space="preserve"> </w:t>
      </w:r>
      <w:r>
        <w:rPr>
          <w:i/>
          <w:iCs/>
        </w:rPr>
        <w:t xml:space="preserve">See </w:t>
      </w:r>
      <w:r w:rsidRPr="00A766D4">
        <w:rPr>
          <w:smallCaps/>
        </w:rPr>
        <w:t>Robert S. Pindyck &amp; Daniel L. Rubinfeld</w:t>
      </w:r>
      <w:r>
        <w:t xml:space="preserve">, </w:t>
      </w:r>
      <w:r>
        <w:rPr>
          <w:smallCaps/>
        </w:rPr>
        <w:t>Microeconomics 691</w:t>
      </w:r>
      <w:r>
        <w:t xml:space="preserve"> (8th ed. 2013). </w:t>
      </w:r>
    </w:p>
  </w:footnote>
  <w:footnote w:id="12">
    <w:p w14:paraId="1221DFF8" w14:textId="351F11AA" w:rsidR="002960DB" w:rsidRPr="00CB1B31" w:rsidRDefault="002960DB" w:rsidP="00887F4E">
      <w:pPr>
        <w:pStyle w:val="FootnoteText"/>
        <w:ind w:firstLine="0"/>
      </w:pPr>
      <w:r>
        <w:rPr>
          <w:rStyle w:val="FootnoteReference"/>
        </w:rPr>
        <w:footnoteRef/>
      </w:r>
      <w:r>
        <w:t xml:space="preserve"> </w:t>
      </w:r>
      <w:r w:rsidRPr="00F7467C">
        <w:rPr>
          <w:i/>
          <w:iCs/>
        </w:rPr>
        <w:t>Frequently Asked Questions</w:t>
      </w:r>
      <w:r w:rsidRPr="00C405AE">
        <w:t xml:space="preserve">, </w:t>
      </w:r>
      <w:r w:rsidRPr="00A766D4">
        <w:rPr>
          <w:smallCaps/>
        </w:rPr>
        <w:t>North American Electric Reliability Corporation</w:t>
      </w:r>
      <w:r w:rsidRPr="00C405AE">
        <w:t xml:space="preserve">, 1 (2013), </w:t>
      </w:r>
      <w:hyperlink r:id="rId3" w:history="1">
        <w:r w:rsidRPr="00C37F19">
          <w:rPr>
            <w:rStyle w:val="Hyperlink"/>
          </w:rPr>
          <w:t>https://www.nerc.com/AboutNERC/Documents/NERC%20FAQs%20AUG13.pdf</w:t>
        </w:r>
      </w:hyperlink>
      <w:r>
        <w:rPr>
          <w:rStyle w:val="Hyperlink"/>
        </w:rPr>
        <w:t xml:space="preserve"> </w:t>
      </w:r>
      <w:r w:rsidRPr="00602AF5">
        <w:rPr>
          <w:rStyle w:val="Hyperlink"/>
          <w:color w:val="000000" w:themeColor="text1"/>
          <w:u w:val="none"/>
        </w:rPr>
        <w:t>(last visited Dec. 1</w:t>
      </w:r>
      <w:r>
        <w:rPr>
          <w:rStyle w:val="Hyperlink"/>
          <w:color w:val="000000" w:themeColor="text1"/>
          <w:u w:val="none"/>
        </w:rPr>
        <w:t>4</w:t>
      </w:r>
      <w:r w:rsidRPr="00602AF5">
        <w:rPr>
          <w:rStyle w:val="Hyperlink"/>
          <w:color w:val="000000" w:themeColor="text1"/>
          <w:u w:val="none"/>
        </w:rPr>
        <w:t>, 2022)</w:t>
      </w:r>
      <w:r w:rsidRPr="00602AF5">
        <w:rPr>
          <w:color w:val="000000" w:themeColor="text1"/>
        </w:rPr>
        <w:t xml:space="preserve">; </w:t>
      </w:r>
      <w:r w:rsidRPr="009B6C53">
        <w:rPr>
          <w:smallCaps/>
          <w:color w:val="000000" w:themeColor="text1"/>
        </w:rPr>
        <w:t xml:space="preserve">Ünel </w:t>
      </w:r>
      <w:r w:rsidRPr="009B6C53">
        <w:rPr>
          <w:smallCaps/>
        </w:rPr>
        <w:t>&amp; Zevin</w:t>
      </w:r>
      <w:r w:rsidRPr="00B23891">
        <w:t xml:space="preserve">, </w:t>
      </w:r>
      <w:r w:rsidRPr="009B6C53">
        <w:rPr>
          <w:i/>
        </w:rPr>
        <w:t>supra</w:t>
      </w:r>
      <w:r>
        <w:t xml:space="preserve"> note </w:t>
      </w:r>
      <w:r>
        <w:fldChar w:fldCharType="begin"/>
      </w:r>
      <w:r>
        <w:instrText xml:space="preserve"> NOTEREF _Ref121983489 \h </w:instrText>
      </w:r>
      <w:r>
        <w:fldChar w:fldCharType="separate"/>
      </w:r>
      <w:r w:rsidR="001739C2">
        <w:t>2</w:t>
      </w:r>
      <w:r>
        <w:fldChar w:fldCharType="end"/>
      </w:r>
      <w:r>
        <w:t>, at 12.</w:t>
      </w:r>
    </w:p>
  </w:footnote>
  <w:footnote w:id="13">
    <w:p w14:paraId="6BF3BE39" w14:textId="32DE7EE8" w:rsidR="002960DB" w:rsidRPr="00124FF3" w:rsidRDefault="002960DB" w:rsidP="009B7594">
      <w:pPr>
        <w:pStyle w:val="FootnoteText"/>
        <w:ind w:firstLine="0"/>
        <w:rPr>
          <w:lang w:val="en-US"/>
        </w:rPr>
      </w:pPr>
      <w:r>
        <w:rPr>
          <w:rStyle w:val="FootnoteReference"/>
        </w:rPr>
        <w:footnoteRef/>
      </w:r>
      <w:r>
        <w:t xml:space="preserve"> </w:t>
      </w:r>
      <w:r>
        <w:rPr>
          <w:i/>
          <w:iCs/>
          <w:lang w:val="en-US"/>
        </w:rPr>
        <w:t>See, e.g.</w:t>
      </w:r>
      <w:r w:rsidRPr="00415D66">
        <w:rPr>
          <w:lang w:val="en-US"/>
        </w:rPr>
        <w:t>,</w:t>
      </w:r>
      <w:r>
        <w:rPr>
          <w:i/>
          <w:iCs/>
          <w:lang w:val="en-US"/>
        </w:rPr>
        <w:t xml:space="preserve"> </w:t>
      </w:r>
      <w:r>
        <w:rPr>
          <w:lang w:val="en-US"/>
        </w:rPr>
        <w:t xml:space="preserve">Peter Cramton, </w:t>
      </w:r>
      <w:r>
        <w:rPr>
          <w:i/>
          <w:iCs/>
          <w:lang w:val="en-US"/>
        </w:rPr>
        <w:t xml:space="preserve">Electricity Market Design, </w:t>
      </w:r>
      <w:r>
        <w:rPr>
          <w:lang w:val="en-US"/>
        </w:rPr>
        <w:t xml:space="preserve">33(4) </w:t>
      </w:r>
      <w:r w:rsidRPr="00E86709">
        <w:rPr>
          <w:smallCaps/>
          <w:lang w:val="en-US"/>
        </w:rPr>
        <w:t>Oxford Rev</w:t>
      </w:r>
      <w:r>
        <w:rPr>
          <w:smallCaps/>
          <w:lang w:val="en-US"/>
        </w:rPr>
        <w:t>.</w:t>
      </w:r>
      <w:r w:rsidRPr="00E86709">
        <w:rPr>
          <w:smallCaps/>
          <w:lang w:val="en-US"/>
        </w:rPr>
        <w:t xml:space="preserve"> Econ</w:t>
      </w:r>
      <w:r>
        <w:rPr>
          <w:smallCaps/>
          <w:lang w:val="en-US"/>
        </w:rPr>
        <w:t>.</w:t>
      </w:r>
      <w:r w:rsidRPr="00E86709">
        <w:rPr>
          <w:smallCaps/>
          <w:lang w:val="en-US"/>
        </w:rPr>
        <w:t xml:space="preserve"> Pol</w:t>
      </w:r>
      <w:r>
        <w:rPr>
          <w:smallCaps/>
          <w:lang w:val="en-US"/>
        </w:rPr>
        <w:t>’</w:t>
      </w:r>
      <w:r w:rsidRPr="00E86709">
        <w:rPr>
          <w:smallCaps/>
          <w:lang w:val="en-US"/>
        </w:rPr>
        <w:t>y</w:t>
      </w:r>
      <w:r>
        <w:rPr>
          <w:lang w:val="en-US"/>
        </w:rPr>
        <w:t xml:space="preserve"> 589, 591 (2017). </w:t>
      </w:r>
    </w:p>
  </w:footnote>
  <w:footnote w:id="14">
    <w:p w14:paraId="38485745" w14:textId="2956423D" w:rsidR="002960DB" w:rsidRPr="00E46968" w:rsidRDefault="002960DB" w:rsidP="009B7594">
      <w:pPr>
        <w:pStyle w:val="FootnoteText"/>
        <w:ind w:firstLine="0"/>
        <w:rPr>
          <w:smallCaps/>
        </w:rPr>
      </w:pPr>
      <w:r>
        <w:rPr>
          <w:rStyle w:val="FootnoteReference"/>
        </w:rPr>
        <w:footnoteRef/>
      </w:r>
      <w:r>
        <w:t xml:space="preserve"> William W. Hogan, </w:t>
      </w:r>
      <w:r>
        <w:rPr>
          <w:i/>
          <w:iCs/>
        </w:rPr>
        <w:t xml:space="preserve">Electricity Scarcity Pricing Through Operating Reserves, </w:t>
      </w:r>
      <w:r>
        <w:t>2(2) E</w:t>
      </w:r>
      <w:r w:rsidRPr="000777AA">
        <w:rPr>
          <w:smallCaps/>
        </w:rPr>
        <w:t>cons</w:t>
      </w:r>
      <w:r>
        <w:rPr>
          <w:smallCaps/>
        </w:rPr>
        <w:t>.</w:t>
      </w:r>
      <w:r w:rsidRPr="000777AA">
        <w:rPr>
          <w:smallCaps/>
        </w:rPr>
        <w:t xml:space="preserve"> of Energy &amp; Env</w:t>
      </w:r>
      <w:r>
        <w:rPr>
          <w:smallCaps/>
        </w:rPr>
        <w:t>’t</w:t>
      </w:r>
      <w:r w:rsidRPr="000777AA">
        <w:rPr>
          <w:smallCaps/>
        </w:rPr>
        <w:t xml:space="preserve"> P</w:t>
      </w:r>
      <w:r>
        <w:rPr>
          <w:smallCaps/>
        </w:rPr>
        <w:t>ol’</w:t>
      </w:r>
      <w:r w:rsidRPr="000777AA">
        <w:rPr>
          <w:smallCaps/>
        </w:rPr>
        <w:t>y</w:t>
      </w:r>
      <w:r>
        <w:rPr>
          <w:smallCaps/>
        </w:rPr>
        <w:t xml:space="preserve"> 65, 66 (2013)</w:t>
      </w:r>
      <w:r>
        <w:t xml:space="preserve"> (“In principle, efficient electricity prices provide good incentives for both short-run operations and long-run investments. In the short run, prices reward generators who make their plants available when needed and in response to the changing dispatch conditions. The same prices provide incentives for loads to moderate demand during the most expensive hours and manage load to shift requirements to lower priced hours. In the long run, the expected value of future short-run payments for energy and ancillary services provides revenue for investment in new generating facilities or energy conservation.”).</w:t>
      </w:r>
    </w:p>
  </w:footnote>
  <w:footnote w:id="15">
    <w:p w14:paraId="765C6FFD" w14:textId="6B848A54" w:rsidR="002960DB" w:rsidRPr="007E2118" w:rsidRDefault="002960DB" w:rsidP="009B7594">
      <w:pPr>
        <w:pStyle w:val="FootnoteText"/>
        <w:ind w:firstLine="0"/>
        <w:rPr>
          <w:lang w:val="en-US"/>
        </w:rPr>
      </w:pPr>
      <w:r>
        <w:rPr>
          <w:rStyle w:val="FootnoteReference"/>
        </w:rPr>
        <w:footnoteRef/>
      </w:r>
      <w:r>
        <w:t xml:space="preserve"> Paul W. Joskow, </w:t>
      </w:r>
      <w:r w:rsidRPr="00F7467C">
        <w:rPr>
          <w:i/>
          <w:iCs/>
        </w:rPr>
        <w:t xml:space="preserve">Capacity </w:t>
      </w:r>
      <w:r>
        <w:rPr>
          <w:i/>
          <w:iCs/>
        </w:rPr>
        <w:t>P</w:t>
      </w:r>
      <w:r w:rsidRPr="00F7467C">
        <w:rPr>
          <w:i/>
          <w:iCs/>
        </w:rPr>
        <w:t xml:space="preserve">ayments in </w:t>
      </w:r>
      <w:r>
        <w:rPr>
          <w:i/>
          <w:iCs/>
        </w:rPr>
        <w:t>I</w:t>
      </w:r>
      <w:r w:rsidRPr="00F7467C">
        <w:rPr>
          <w:i/>
          <w:iCs/>
        </w:rPr>
        <w:t xml:space="preserve">mperfect </w:t>
      </w:r>
      <w:r>
        <w:rPr>
          <w:i/>
          <w:iCs/>
        </w:rPr>
        <w:t>E</w:t>
      </w:r>
      <w:r w:rsidRPr="00F7467C">
        <w:rPr>
          <w:i/>
          <w:iCs/>
        </w:rPr>
        <w:t xml:space="preserve">lectricity </w:t>
      </w:r>
      <w:r>
        <w:rPr>
          <w:i/>
          <w:iCs/>
        </w:rPr>
        <w:t>M</w:t>
      </w:r>
      <w:r w:rsidRPr="00F7467C">
        <w:rPr>
          <w:i/>
          <w:iCs/>
        </w:rPr>
        <w:t xml:space="preserve">arkets: Need and </w:t>
      </w:r>
      <w:r>
        <w:rPr>
          <w:i/>
          <w:iCs/>
        </w:rPr>
        <w:t>D</w:t>
      </w:r>
      <w:r w:rsidRPr="00F7467C">
        <w:rPr>
          <w:i/>
          <w:iCs/>
        </w:rPr>
        <w:t>esign</w:t>
      </w:r>
      <w:r>
        <w:t xml:space="preserve">, 16(3) </w:t>
      </w:r>
      <w:r w:rsidRPr="00F7467C">
        <w:rPr>
          <w:smallCaps/>
        </w:rPr>
        <w:t>Utils. Pol’y</w:t>
      </w:r>
      <w:r>
        <w:t xml:space="preserve"> 159, 160 (2008).</w:t>
      </w:r>
    </w:p>
  </w:footnote>
  <w:footnote w:id="16">
    <w:p w14:paraId="2A27869B" w14:textId="121AA039" w:rsidR="002960DB" w:rsidRPr="00492B7E" w:rsidRDefault="002960DB" w:rsidP="00492B7E">
      <w:pPr>
        <w:pStyle w:val="FootnoteText"/>
        <w:ind w:firstLine="0"/>
        <w:rPr>
          <w:lang w:val="en-US"/>
        </w:rPr>
      </w:pPr>
      <w:r>
        <w:rPr>
          <w:rStyle w:val="FootnoteReference"/>
        </w:rPr>
        <w:footnoteRef/>
      </w:r>
      <w:r>
        <w:t xml:space="preserve"> </w:t>
      </w:r>
      <w:r w:rsidRPr="00492B7E">
        <w:rPr>
          <w:i/>
        </w:rPr>
        <w:t>Id.</w:t>
      </w:r>
      <w:r>
        <w:t xml:space="preserve"> at 160 </w:t>
      </w:r>
      <w:r w:rsidR="007A01E6">
        <w:t>(</w:t>
      </w:r>
      <w:r>
        <w:t xml:space="preserve">noting the following factors that suppress market prices: insufficient quantities of demand response available to clear the market and maintain reliability; market prices often do not reflect the societal cost of using operating reserves to supply energy; use of out-of-market actions by system operators to prevent prices from rising; administrative price caps; and use of emergency reliability protocols). </w:t>
      </w:r>
    </w:p>
  </w:footnote>
  <w:footnote w:id="17">
    <w:p w14:paraId="793DBF53" w14:textId="7B9587C9" w:rsidR="002960DB" w:rsidRPr="005553B5" w:rsidRDefault="002960DB" w:rsidP="009B7594">
      <w:pPr>
        <w:pStyle w:val="FootnoteText"/>
        <w:ind w:firstLine="0"/>
        <w:rPr>
          <w:i/>
          <w:iCs/>
          <w:lang w:val="en-US"/>
        </w:rPr>
      </w:pPr>
      <w:r>
        <w:rPr>
          <w:rStyle w:val="FootnoteReference"/>
        </w:rPr>
        <w:footnoteRef/>
      </w:r>
      <w:r>
        <w:t xml:space="preserve"> </w:t>
      </w:r>
      <w:r>
        <w:rPr>
          <w:lang w:val="en-US"/>
        </w:rPr>
        <w:t xml:space="preserve">Hogan, </w:t>
      </w:r>
      <w:r w:rsidRPr="00D24E60">
        <w:rPr>
          <w:i/>
          <w:lang w:val="en-US"/>
        </w:rPr>
        <w:t>supra</w:t>
      </w:r>
      <w:r>
        <w:rPr>
          <w:lang w:val="en-US"/>
        </w:rPr>
        <w:t xml:space="preserve"> note </w:t>
      </w:r>
      <w:r>
        <w:rPr>
          <w:lang w:val="en-US"/>
        </w:rPr>
        <w:fldChar w:fldCharType="begin"/>
      </w:r>
      <w:r>
        <w:rPr>
          <w:lang w:val="en-US"/>
        </w:rPr>
        <w:instrText xml:space="preserve"> NOTEREF _Ref121757917 \h </w:instrText>
      </w:r>
      <w:r>
        <w:rPr>
          <w:lang w:val="en-US"/>
        </w:rPr>
      </w:r>
      <w:r>
        <w:rPr>
          <w:lang w:val="en-US"/>
        </w:rPr>
        <w:fldChar w:fldCharType="separate"/>
      </w:r>
      <w:r w:rsidR="001739C2">
        <w:rPr>
          <w:lang w:val="en-US"/>
        </w:rPr>
        <w:t>13</w:t>
      </w:r>
      <w:r>
        <w:rPr>
          <w:lang w:val="en-US"/>
        </w:rPr>
        <w:fldChar w:fldCharType="end"/>
      </w:r>
      <w:r>
        <w:rPr>
          <w:lang w:val="en-US"/>
        </w:rPr>
        <w:t xml:space="preserve">, at 66. </w:t>
      </w:r>
    </w:p>
  </w:footnote>
  <w:footnote w:id="18">
    <w:p w14:paraId="20BEB7FE" w14:textId="06DE9949" w:rsidR="002960DB" w:rsidRPr="007F19A6" w:rsidRDefault="002960DB" w:rsidP="009B7594">
      <w:pPr>
        <w:pStyle w:val="FootnoteText"/>
        <w:ind w:firstLine="0"/>
      </w:pPr>
      <w:r>
        <w:rPr>
          <w:rStyle w:val="FootnoteReference"/>
        </w:rPr>
        <w:footnoteRef/>
      </w:r>
      <w:r>
        <w:t xml:space="preserve"> Joskow, </w:t>
      </w:r>
      <w:r w:rsidRPr="00D24E60">
        <w:rPr>
          <w:i/>
        </w:rPr>
        <w:t>s</w:t>
      </w:r>
      <w:r w:rsidRPr="00731542">
        <w:rPr>
          <w:i/>
        </w:rPr>
        <w:t>upra</w:t>
      </w:r>
      <w:r>
        <w:t xml:space="preserve"> note </w:t>
      </w:r>
      <w:r>
        <w:fldChar w:fldCharType="begin"/>
      </w:r>
      <w:r>
        <w:instrText xml:space="preserve"> NOTEREF _Ref121757942 \h </w:instrText>
      </w:r>
      <w:r>
        <w:fldChar w:fldCharType="separate"/>
      </w:r>
      <w:r w:rsidR="001739C2">
        <w:t>14</w:t>
      </w:r>
      <w:r>
        <w:fldChar w:fldCharType="end"/>
      </w:r>
      <w:r>
        <w:t xml:space="preserve">, at 160–61. </w:t>
      </w:r>
    </w:p>
  </w:footnote>
  <w:footnote w:id="19">
    <w:p w14:paraId="11918E6D" w14:textId="48940D91" w:rsidR="002960DB" w:rsidRPr="00422873" w:rsidRDefault="002960DB" w:rsidP="00422873">
      <w:pPr>
        <w:pStyle w:val="FootnoteText"/>
        <w:ind w:firstLine="0"/>
        <w:rPr>
          <w:i/>
          <w:iCs/>
          <w:lang w:val="en-US"/>
        </w:rPr>
      </w:pPr>
      <w:r>
        <w:rPr>
          <w:rStyle w:val="FootnoteReference"/>
        </w:rPr>
        <w:footnoteRef/>
      </w:r>
      <w:r>
        <w:t xml:space="preserve"> </w:t>
      </w:r>
      <w:r>
        <w:rPr>
          <w:lang w:val="en-US"/>
        </w:rPr>
        <w:t xml:space="preserve">ERCOT’s approved “Phase I” changes also included allowing earlier deployment of emergency response services, facilitating demand response, and enhancing services in its ancillary services market (introducing a firm fuel product, expanding its non-spinning reserve service, introducing a new fast frequency response service, developing a voltage support compensation product, and introducing a new contingency </w:t>
      </w:r>
      <w:r w:rsidR="005B16C7">
        <w:rPr>
          <w:lang w:val="en-US"/>
        </w:rPr>
        <w:t>reserves</w:t>
      </w:r>
      <w:r>
        <w:rPr>
          <w:lang w:val="en-US"/>
        </w:rPr>
        <w:t xml:space="preserve"> service product).</w:t>
      </w:r>
      <w:r>
        <w:rPr>
          <w:i/>
          <w:iCs/>
          <w:lang w:val="en-US"/>
        </w:rPr>
        <w:t xml:space="preserve"> </w:t>
      </w:r>
      <w:r w:rsidRPr="00422873">
        <w:rPr>
          <w:lang w:val="en-US"/>
        </w:rPr>
        <w:t>Approval of Blueprint for Wholesale Electric Market Design and Directives to ERCOT</w:t>
      </w:r>
      <w:r w:rsidRPr="006A4C1F">
        <w:rPr>
          <w:lang w:val="en-US"/>
        </w:rPr>
        <w:t xml:space="preserve">, </w:t>
      </w:r>
      <w:r>
        <w:rPr>
          <w:i/>
          <w:iCs/>
          <w:lang w:val="en-US"/>
        </w:rPr>
        <w:t>Review of Wholesale Electric Market Design</w:t>
      </w:r>
      <w:r>
        <w:rPr>
          <w:lang w:val="en-US"/>
        </w:rPr>
        <w:t>, Project No. 52373 (Jan. 13, 2022).</w:t>
      </w:r>
    </w:p>
  </w:footnote>
  <w:footnote w:id="20">
    <w:p w14:paraId="6E7ED576" w14:textId="56BA5156" w:rsidR="002960DB" w:rsidRPr="007E2118" w:rsidRDefault="002960DB" w:rsidP="009B7594">
      <w:pPr>
        <w:pStyle w:val="FootnoteText"/>
        <w:ind w:firstLine="0"/>
        <w:rPr>
          <w:lang w:val="en-US"/>
        </w:rPr>
      </w:pPr>
      <w:r>
        <w:rPr>
          <w:rStyle w:val="FootnoteReference"/>
        </w:rPr>
        <w:footnoteRef/>
      </w:r>
      <w:r>
        <w:t xml:space="preserve"> ERCOT, </w:t>
      </w:r>
      <w:r w:rsidRPr="007E2118">
        <w:rPr>
          <w:i/>
          <w:iCs/>
        </w:rPr>
        <w:t>2022 Biennial ERCOT Report on the Operating Reserve Demand Curve</w:t>
      </w:r>
      <w:r>
        <w:rPr>
          <w:i/>
          <w:iCs/>
        </w:rPr>
        <w:t xml:space="preserve"> </w:t>
      </w:r>
      <w:r>
        <w:t>10</w:t>
      </w:r>
      <w:r>
        <w:rPr>
          <w:i/>
          <w:iCs/>
        </w:rPr>
        <w:t xml:space="preserve"> </w:t>
      </w:r>
      <w:r>
        <w:t xml:space="preserve">(2022), </w:t>
      </w:r>
      <w:hyperlink r:id="rId4" w:history="1">
        <w:r w:rsidRPr="00797C2C">
          <w:rPr>
            <w:rStyle w:val="Hyperlink"/>
          </w:rPr>
          <w:t>https://www.ercot.com/files/docs/2022/10/31/2022%20Biennial%20ERCOT%20Report%20on%20the%20ORDC%20-%20Final_corr.pdf</w:t>
        </w:r>
      </w:hyperlink>
      <w:r>
        <w:t xml:space="preserve"> (last visited Dec. 14, 2022). </w:t>
      </w:r>
    </w:p>
  </w:footnote>
  <w:footnote w:id="21">
    <w:p w14:paraId="752CAD45" w14:textId="14F76A16" w:rsidR="002960DB" w:rsidRPr="002E42C2" w:rsidRDefault="002960DB" w:rsidP="009B7594">
      <w:pPr>
        <w:pStyle w:val="FootnoteText"/>
        <w:ind w:firstLine="0"/>
        <w:rPr>
          <w:lang w:val="en-US"/>
        </w:rPr>
      </w:pPr>
      <w:r>
        <w:rPr>
          <w:rStyle w:val="FootnoteReference"/>
        </w:rPr>
        <w:footnoteRef/>
      </w:r>
      <w:r>
        <w:t xml:space="preserve"> </w:t>
      </w:r>
      <w:r>
        <w:rPr>
          <w:i/>
          <w:iCs/>
        </w:rPr>
        <w:t xml:space="preserve">Id. </w:t>
      </w:r>
      <w:r>
        <w:t xml:space="preserve">at 1; </w:t>
      </w:r>
      <w:r>
        <w:rPr>
          <w:i/>
        </w:rPr>
        <w:t>accord</w:t>
      </w:r>
      <w:r>
        <w:rPr>
          <w:i/>
          <w:iCs/>
        </w:rPr>
        <w:t xml:space="preserve"> </w:t>
      </w:r>
      <w:r w:rsidRPr="006244A3">
        <w:rPr>
          <w:smallCaps/>
        </w:rPr>
        <w:t>ICF Resources</w:t>
      </w:r>
      <w:r>
        <w:rPr>
          <w:smallCaps/>
        </w:rPr>
        <w:t>,</w:t>
      </w:r>
      <w:r w:rsidRPr="006244A3">
        <w:rPr>
          <w:smallCaps/>
        </w:rPr>
        <w:t xml:space="preserve"> LLC, Assessment of ERCOT Market Structural Changes</w:t>
      </w:r>
      <w:r>
        <w:rPr>
          <w:i/>
          <w:iCs/>
        </w:rPr>
        <w:t xml:space="preserve"> </w:t>
      </w:r>
      <w:r>
        <w:t>1, 24 (2022) (“[M]</w:t>
      </w:r>
      <w:r w:rsidRPr="006A1237">
        <w:t>ore generation generally receive lower scarcity prices in a few hours of the year but higher scarcity prices in many more hours of the year (and on net, more dollars overall on average in all modeled years).</w:t>
      </w:r>
      <w:r>
        <w:t>”).</w:t>
      </w:r>
    </w:p>
  </w:footnote>
  <w:footnote w:id="22">
    <w:p w14:paraId="09521524" w14:textId="56FB88B7" w:rsidR="002960DB" w:rsidRPr="007E2118" w:rsidRDefault="002960DB" w:rsidP="009B7594">
      <w:pPr>
        <w:pStyle w:val="FootnoteText"/>
        <w:ind w:firstLine="0"/>
        <w:rPr>
          <w:lang w:val="en-US"/>
        </w:rPr>
      </w:pPr>
      <w:r>
        <w:rPr>
          <w:rStyle w:val="FootnoteReference"/>
        </w:rPr>
        <w:footnoteRef/>
      </w:r>
      <w:r>
        <w:t xml:space="preserve"> </w:t>
      </w:r>
      <w:r w:rsidRPr="00D24E60">
        <w:rPr>
          <w:smallCaps/>
        </w:rPr>
        <w:t>E3 Report</w:t>
      </w:r>
      <w:r>
        <w:t xml:space="preserve">, </w:t>
      </w:r>
      <w:r w:rsidRPr="00D24E60">
        <w:rPr>
          <w:i/>
        </w:rPr>
        <w:t>sup</w:t>
      </w:r>
      <w:r w:rsidRPr="00731542">
        <w:rPr>
          <w:i/>
        </w:rPr>
        <w:t>ra</w:t>
      </w:r>
      <w:r>
        <w:t xml:space="preserve"> note </w:t>
      </w:r>
      <w:r>
        <w:fldChar w:fldCharType="begin"/>
      </w:r>
      <w:r>
        <w:instrText xml:space="preserve"> NOTEREF _Ref121325512 \h </w:instrText>
      </w:r>
      <w:r>
        <w:fldChar w:fldCharType="separate"/>
      </w:r>
      <w:r w:rsidR="001739C2">
        <w:t>5</w:t>
      </w:r>
      <w:r>
        <w:fldChar w:fldCharType="end"/>
      </w:r>
      <w:r>
        <w:t xml:space="preserve">, at 2–3. </w:t>
      </w:r>
    </w:p>
  </w:footnote>
  <w:footnote w:id="23">
    <w:p w14:paraId="71A7EC98" w14:textId="5CE5A717" w:rsidR="002960DB" w:rsidRPr="00263798" w:rsidRDefault="002960DB" w:rsidP="009B7594">
      <w:pPr>
        <w:pStyle w:val="FootnoteText"/>
        <w:ind w:firstLine="0"/>
        <w:rPr>
          <w:lang w:val="en-US"/>
        </w:rPr>
      </w:pPr>
      <w:r>
        <w:rPr>
          <w:rStyle w:val="FootnoteReference"/>
        </w:rPr>
        <w:footnoteRef/>
      </w:r>
      <w:r>
        <w:t xml:space="preserve"> </w:t>
      </w:r>
      <w:r>
        <w:rPr>
          <w:i/>
          <w:iCs/>
        </w:rPr>
        <w:t xml:space="preserve">Id. </w:t>
      </w:r>
      <w:r>
        <w:t xml:space="preserve">at 5. </w:t>
      </w:r>
    </w:p>
  </w:footnote>
  <w:footnote w:id="24">
    <w:p w14:paraId="19B6A1AE" w14:textId="4AEA02CF" w:rsidR="002960DB" w:rsidRPr="00E26710" w:rsidRDefault="002960DB" w:rsidP="003025FC">
      <w:pPr>
        <w:pStyle w:val="FootnoteText"/>
        <w:spacing w:after="0"/>
        <w:ind w:firstLine="0"/>
        <w:rPr>
          <w:lang w:val="en-US"/>
        </w:rPr>
      </w:pPr>
      <w:r>
        <w:rPr>
          <w:rStyle w:val="FootnoteReference"/>
        </w:rPr>
        <w:footnoteRef/>
      </w:r>
      <w:r>
        <w:t xml:space="preserve"> </w:t>
      </w:r>
      <w:r w:rsidRPr="00EC59AF">
        <w:rPr>
          <w:i/>
          <w:iCs/>
          <w:lang w:val="en-US"/>
        </w:rPr>
        <w:t>Id.</w:t>
      </w:r>
      <w:r w:rsidRPr="00EC59AF">
        <w:rPr>
          <w:i/>
          <w:lang w:val="en-US"/>
        </w:rPr>
        <w:t xml:space="preserve"> </w:t>
      </w:r>
      <w:r>
        <w:rPr>
          <w:lang w:val="en-US"/>
        </w:rPr>
        <w:t>at 31 (“</w:t>
      </w:r>
      <w:r w:rsidRPr="007106DF">
        <w:rPr>
          <w:lang w:val="en-US"/>
        </w:rPr>
        <w:t>Based on calculations from the SERVM model, this study determined that a natural gas combustion turbine (CT) was the marginal capacity resource. If CT margins exceed CONE, new gas CT units are added. If CT margins are lower than CONE, coal and gas steam turbine units are re</w:t>
      </w:r>
      <w:r>
        <w:rPr>
          <w:lang w:val="en-US"/>
        </w:rPr>
        <w:t>moved from the system.”).</w:t>
      </w:r>
    </w:p>
  </w:footnote>
  <w:footnote w:id="25">
    <w:p w14:paraId="736FD081" w14:textId="41C6B186" w:rsidR="002960DB" w:rsidRPr="007359FA" w:rsidRDefault="002960DB" w:rsidP="008B2F15">
      <w:pPr>
        <w:pStyle w:val="FootnoteText"/>
        <w:spacing w:after="0"/>
        <w:ind w:firstLine="0"/>
        <w:rPr>
          <w:lang w:val="en-US"/>
        </w:rPr>
      </w:pPr>
      <w:r>
        <w:rPr>
          <w:rStyle w:val="FootnoteReference"/>
        </w:rPr>
        <w:footnoteRef/>
      </w:r>
      <w:r>
        <w:t xml:space="preserve"> </w:t>
      </w:r>
      <w:r w:rsidRPr="005F2C04">
        <w:rPr>
          <w:i/>
          <w:iCs/>
          <w:lang w:val="en-US"/>
        </w:rPr>
        <w:t>Id.</w:t>
      </w:r>
      <w:r w:rsidRPr="00AC5184">
        <w:rPr>
          <w:lang w:val="en-US"/>
        </w:rPr>
        <w:t xml:space="preserve"> </w:t>
      </w:r>
      <w:r>
        <w:rPr>
          <w:lang w:val="en-US"/>
        </w:rPr>
        <w:t>at 3 (“</w:t>
      </w:r>
      <w:r w:rsidRPr="007359FA">
        <w:rPr>
          <w:lang w:val="en-US"/>
        </w:rPr>
        <w:t>The analysis in this study focuses on the snapshot year of 2026, a near-term year that was intentionally selected by the Consulting Team as 1) near-term enough that there is relative certainty about expected loads and resources but 2) long-term enough that any potential market design reform could be implemented.</w:t>
      </w:r>
      <w:r>
        <w:rPr>
          <w:lang w:val="en-US"/>
        </w:rPr>
        <w:t>”).</w:t>
      </w:r>
    </w:p>
  </w:footnote>
  <w:footnote w:id="26">
    <w:p w14:paraId="21B82FA5" w14:textId="2D79A8E0" w:rsidR="002960DB" w:rsidRPr="004114D9" w:rsidRDefault="002960DB" w:rsidP="008B2F15">
      <w:pPr>
        <w:pStyle w:val="FootnoteText"/>
        <w:spacing w:after="0"/>
        <w:ind w:firstLine="0"/>
        <w:rPr>
          <w:lang w:val="en-US"/>
        </w:rPr>
      </w:pPr>
      <w:r>
        <w:rPr>
          <w:rStyle w:val="FootnoteReference"/>
        </w:rPr>
        <w:footnoteRef/>
      </w:r>
      <w:r>
        <w:t xml:space="preserve"> </w:t>
      </w:r>
      <w:r w:rsidRPr="005F2C04">
        <w:rPr>
          <w:i/>
          <w:iCs/>
        </w:rPr>
        <w:t>Id.</w:t>
      </w:r>
      <w:r>
        <w:t xml:space="preserve"> at 81–82 (estimating that the BRS “would take approximately one to three years to fully implement”; the Dispatchable Energy Credits would take one to four years; and the Forward Reliability Market, Load Serving Entity Reliability Obligation, and PCM would take two to four years).</w:t>
      </w:r>
    </w:p>
  </w:footnote>
  <w:footnote w:id="27">
    <w:p w14:paraId="478A5EE3" w14:textId="22F51606" w:rsidR="002960DB" w:rsidRPr="009707D2" w:rsidRDefault="002960DB" w:rsidP="009707D2">
      <w:pPr>
        <w:pStyle w:val="FootnoteText"/>
        <w:ind w:firstLine="0"/>
        <w:rPr>
          <w:i/>
        </w:rPr>
      </w:pPr>
      <w:r>
        <w:rPr>
          <w:rStyle w:val="FootnoteReference"/>
        </w:rPr>
        <w:footnoteRef/>
      </w:r>
      <w:r>
        <w:t xml:space="preserve"> </w:t>
      </w:r>
      <w:r>
        <w:rPr>
          <w:i/>
          <w:iCs/>
        </w:rPr>
        <w:t>See, e.g.</w:t>
      </w:r>
      <w:r w:rsidRPr="009707D2">
        <w:t xml:space="preserve">, Comments of </w:t>
      </w:r>
      <w:r w:rsidRPr="00B8775B">
        <w:t>Alison Silverstein Consulting</w:t>
      </w:r>
      <w:r w:rsidRPr="009707D2">
        <w:t xml:space="preserve">, </w:t>
      </w:r>
      <w:r w:rsidRPr="009707D2">
        <w:rPr>
          <w:i/>
          <w:iCs/>
        </w:rPr>
        <w:t>Review Of Market Reform Assessment Produced By Energy And Environmental Economics, Inc. (E3)</w:t>
      </w:r>
      <w:r w:rsidRPr="009707D2">
        <w:t xml:space="preserve">, </w:t>
      </w:r>
      <w:r>
        <w:t>Project</w:t>
      </w:r>
      <w:r w:rsidRPr="009707D2">
        <w:t xml:space="preserve"> No. </w:t>
      </w:r>
      <w:r w:rsidRPr="00915C17">
        <w:t>54335</w:t>
      </w:r>
      <w:r w:rsidRPr="009707D2">
        <w:t xml:space="preserve"> (</w:t>
      </w:r>
      <w:r>
        <w:t>Dec. 9, 2022</w:t>
      </w:r>
      <w:r w:rsidRPr="009707D2">
        <w:t>)</w:t>
      </w:r>
      <w:r>
        <w:t>.</w:t>
      </w:r>
    </w:p>
  </w:footnote>
  <w:footnote w:id="28">
    <w:p w14:paraId="076887B8" w14:textId="69D93366" w:rsidR="002960DB" w:rsidRPr="001D7AAC" w:rsidRDefault="002960DB" w:rsidP="0065637A">
      <w:pPr>
        <w:pStyle w:val="FootnoteText"/>
        <w:spacing w:after="0"/>
        <w:ind w:firstLine="0"/>
        <w:rPr>
          <w:lang w:val="en-US"/>
        </w:rPr>
      </w:pPr>
      <w:r>
        <w:rPr>
          <w:rStyle w:val="FootnoteReference"/>
        </w:rPr>
        <w:footnoteRef/>
      </w:r>
      <w:r>
        <w:t xml:space="preserve"> </w:t>
      </w:r>
      <w:r w:rsidRPr="00D24E60">
        <w:rPr>
          <w:smallCaps/>
          <w:lang w:val="en-US"/>
        </w:rPr>
        <w:t>E3 Report</w:t>
      </w:r>
      <w:r>
        <w:rPr>
          <w:iCs/>
          <w:lang w:val="en-US"/>
        </w:rPr>
        <w:t xml:space="preserve">, </w:t>
      </w:r>
      <w:r w:rsidRPr="00D24E60">
        <w:rPr>
          <w:i/>
          <w:lang w:val="en-US"/>
        </w:rPr>
        <w:t>supra</w:t>
      </w:r>
      <w:r>
        <w:rPr>
          <w:iCs/>
          <w:lang w:val="en-US"/>
        </w:rPr>
        <w:t xml:space="preserve"> </w:t>
      </w:r>
      <w:r>
        <w:rPr>
          <w:lang w:val="en-US"/>
        </w:rPr>
        <w:t xml:space="preserve">note </w:t>
      </w:r>
      <w:r>
        <w:rPr>
          <w:lang w:val="en-US"/>
        </w:rPr>
        <w:fldChar w:fldCharType="begin"/>
      </w:r>
      <w:r>
        <w:rPr>
          <w:lang w:val="en-US"/>
        </w:rPr>
        <w:instrText xml:space="preserve"> NOTEREF _Ref121325512 \h </w:instrText>
      </w:r>
      <w:r>
        <w:rPr>
          <w:lang w:val="en-US"/>
        </w:rPr>
      </w:r>
      <w:r>
        <w:rPr>
          <w:lang w:val="en-US"/>
        </w:rPr>
        <w:fldChar w:fldCharType="separate"/>
      </w:r>
      <w:r w:rsidR="001739C2">
        <w:rPr>
          <w:lang w:val="en-US"/>
        </w:rPr>
        <w:t>5</w:t>
      </w:r>
      <w:r>
        <w:rPr>
          <w:lang w:val="en-US"/>
        </w:rPr>
        <w:fldChar w:fldCharType="end"/>
      </w:r>
      <w:r w:rsidRPr="00A4271D">
        <w:rPr>
          <w:lang w:val="en-US"/>
        </w:rPr>
        <w:t>, 86</w:t>
      </w:r>
      <w:r w:rsidRPr="00A4271D">
        <w:t>–</w:t>
      </w:r>
      <w:r w:rsidRPr="00A4271D">
        <w:rPr>
          <w:lang w:val="en-US"/>
        </w:rPr>
        <w:t>8</w:t>
      </w:r>
      <w:r>
        <w:rPr>
          <w:lang w:val="en-US"/>
        </w:rPr>
        <w:t xml:space="preserve">7; </w:t>
      </w:r>
      <w:r w:rsidRPr="002E1F0D">
        <w:rPr>
          <w:i/>
          <w:lang w:val="en-US"/>
        </w:rPr>
        <w:t>Hearing on Proposed Changes to ERCOT Market Design Before the H. Comm. On State Affs.</w:t>
      </w:r>
      <w:r w:rsidRPr="002E1F0D">
        <w:rPr>
          <w:lang w:val="en-US"/>
        </w:rPr>
        <w:t>, 2022 Leg., 87th Sess. at 1:01:27 (statement of PUCT Chairman Lake describing the PCM as “really directed at” at addressing periods of low non-dispatchable power, rather than Uri-like conditions).</w:t>
      </w:r>
    </w:p>
  </w:footnote>
  <w:footnote w:id="29">
    <w:p w14:paraId="502B54EA" w14:textId="28160029" w:rsidR="002960DB" w:rsidRPr="009430E8" w:rsidRDefault="002960DB" w:rsidP="0065637A">
      <w:pPr>
        <w:pStyle w:val="FootnoteText"/>
        <w:ind w:firstLine="0"/>
        <w:rPr>
          <w:lang w:val="en-US"/>
        </w:rPr>
      </w:pPr>
      <w:r>
        <w:rPr>
          <w:rStyle w:val="FootnoteReference"/>
        </w:rPr>
        <w:footnoteRef/>
      </w:r>
      <w:r>
        <w:t xml:space="preserve"> </w:t>
      </w:r>
      <w:r w:rsidRPr="00801A89">
        <w:rPr>
          <w:smallCaps/>
        </w:rPr>
        <w:t>E3 Report</w:t>
      </w:r>
      <w:r w:rsidRPr="00801A89">
        <w:t xml:space="preserve">, </w:t>
      </w:r>
      <w:r w:rsidRPr="007D3997">
        <w:rPr>
          <w:i/>
        </w:rPr>
        <w:t>supra</w:t>
      </w:r>
      <w:r w:rsidRPr="00801A89">
        <w:t xml:space="preserve"> note </w:t>
      </w:r>
      <w:r>
        <w:fldChar w:fldCharType="begin"/>
      </w:r>
      <w:r>
        <w:instrText xml:space="preserve"> NOTEREF _Ref121325512 \h </w:instrText>
      </w:r>
      <w:r>
        <w:fldChar w:fldCharType="separate"/>
      </w:r>
      <w:r w:rsidR="001739C2">
        <w:t>5</w:t>
      </w:r>
      <w:r>
        <w:fldChar w:fldCharType="end"/>
      </w:r>
      <w:r w:rsidRPr="00801A89" w:rsidDel="00CF67A9">
        <w:fldChar w:fldCharType="begin"/>
      </w:r>
      <w:r w:rsidRPr="00CF67A9">
        <w:rPr>
          <w:i/>
        </w:rPr>
        <w:instrText xml:space="preserve"> \* MERGEFORMAT </w:instrText>
      </w:r>
      <w:r w:rsidRPr="00801A89" w:rsidDel="00CF67A9">
        <w:fldChar w:fldCharType="end"/>
      </w:r>
      <w:r w:rsidRPr="00CF67A9">
        <w:rPr>
          <w:i/>
        </w:rPr>
        <w:t>,</w:t>
      </w:r>
      <w:r>
        <w:t xml:space="preserve"> at 86–87. </w:t>
      </w:r>
    </w:p>
  </w:footnote>
  <w:footnote w:id="30">
    <w:p w14:paraId="10CDD064" w14:textId="77777777" w:rsidR="002960DB" w:rsidRPr="003D78E5" w:rsidRDefault="002960DB" w:rsidP="00080F22">
      <w:pPr>
        <w:pStyle w:val="FootnoteText"/>
        <w:ind w:firstLine="0"/>
        <w:rPr>
          <w:lang w:val="en-US"/>
        </w:rPr>
      </w:pPr>
      <w:r>
        <w:rPr>
          <w:rStyle w:val="FootnoteReference"/>
        </w:rPr>
        <w:footnoteRef/>
      </w:r>
      <w:r>
        <w:t xml:space="preserve"> </w:t>
      </w:r>
      <w:r w:rsidRPr="005B149A">
        <w:t>Tex. Util. Code Ann. § 39.159</w:t>
      </w:r>
      <w:r>
        <w:t>(b)(3).</w:t>
      </w:r>
    </w:p>
  </w:footnote>
  <w:footnote w:id="31">
    <w:p w14:paraId="42E8AF65" w14:textId="7A17A352" w:rsidR="002960DB" w:rsidRPr="00801A89" w:rsidRDefault="002960DB" w:rsidP="00C23F86">
      <w:pPr>
        <w:pStyle w:val="FootnoteText"/>
        <w:ind w:firstLine="0"/>
      </w:pPr>
      <w:r>
        <w:rPr>
          <w:rStyle w:val="FootnoteReference"/>
        </w:rPr>
        <w:footnoteRef/>
      </w:r>
      <w:r>
        <w:t xml:space="preserve"> </w:t>
      </w:r>
      <w:r w:rsidRPr="00D24E60">
        <w:rPr>
          <w:smallCaps/>
        </w:rPr>
        <w:t>Ünel &amp; Zevin</w:t>
      </w:r>
      <w:r w:rsidRPr="00A4271D">
        <w:t xml:space="preserve">, </w:t>
      </w:r>
      <w:r w:rsidRPr="00D24E60">
        <w:rPr>
          <w:i/>
        </w:rPr>
        <w:t>supra</w:t>
      </w:r>
      <w:r>
        <w:t xml:space="preserve"> note </w:t>
      </w:r>
      <w:r>
        <w:fldChar w:fldCharType="begin"/>
      </w:r>
      <w:r>
        <w:instrText xml:space="preserve"> NOTEREF _Ref121983489 \h </w:instrText>
      </w:r>
      <w:r>
        <w:fldChar w:fldCharType="separate"/>
      </w:r>
      <w:r w:rsidR="001739C2">
        <w:t>2</w:t>
      </w:r>
      <w:r>
        <w:fldChar w:fldCharType="end"/>
      </w:r>
      <w:r>
        <w:t>, at 4.</w:t>
      </w:r>
      <w:r>
        <w:rPr>
          <w:lang w:val="en-US"/>
        </w:rPr>
        <w:t xml:space="preserve"> </w:t>
      </w:r>
    </w:p>
  </w:footnote>
  <w:footnote w:id="32">
    <w:p w14:paraId="119BBFE1" w14:textId="12E3164D" w:rsidR="002960DB" w:rsidRPr="00801A89" w:rsidRDefault="002960DB" w:rsidP="00DD0B45">
      <w:pPr>
        <w:pStyle w:val="FootnoteText"/>
        <w:ind w:firstLine="0"/>
        <w:rPr>
          <w:lang w:val="en-US"/>
        </w:rPr>
      </w:pPr>
      <w:r>
        <w:rPr>
          <w:rStyle w:val="FootnoteReference"/>
        </w:rPr>
        <w:footnoteRef/>
      </w:r>
      <w:r>
        <w:t xml:space="preserve"> </w:t>
      </w:r>
      <w:r>
        <w:rPr>
          <w:i/>
        </w:rPr>
        <w:t>See</w:t>
      </w:r>
      <w:r w:rsidR="00BC074B">
        <w:rPr>
          <w:i/>
        </w:rPr>
        <w:t xml:space="preserve"> id. </w:t>
      </w:r>
      <w:r w:rsidR="0070241F">
        <w:t>at 11.</w:t>
      </w:r>
    </w:p>
  </w:footnote>
  <w:footnote w:id="33">
    <w:p w14:paraId="583676DE" w14:textId="6AA025CC" w:rsidR="002960DB" w:rsidRDefault="002960DB" w:rsidP="00866E02">
      <w:pPr>
        <w:pStyle w:val="FootnoteText"/>
        <w:spacing w:after="0"/>
        <w:ind w:firstLine="0"/>
        <w:rPr>
          <w:lang w:val="en-US"/>
        </w:rPr>
      </w:pPr>
      <w:r>
        <w:rPr>
          <w:rStyle w:val="FootnoteReference"/>
        </w:rPr>
        <w:footnoteRef/>
      </w:r>
      <w:r>
        <w:t xml:space="preserve"> </w:t>
      </w:r>
      <w:r w:rsidRPr="00D65301">
        <w:t>Tex. Util. Code Ann.</w:t>
      </w:r>
      <w:r>
        <w:t xml:space="preserve"> § 36.003(a) (West 2022).</w:t>
      </w:r>
    </w:p>
  </w:footnote>
  <w:footnote w:id="34">
    <w:p w14:paraId="67629A1B" w14:textId="2AA9A14A" w:rsidR="002960DB" w:rsidRPr="00D24E60" w:rsidRDefault="002960DB" w:rsidP="00250036">
      <w:pPr>
        <w:pStyle w:val="FootnoteText"/>
        <w:ind w:firstLine="0"/>
        <w:rPr>
          <w:lang w:val="en-US"/>
        </w:rPr>
      </w:pPr>
      <w:r>
        <w:rPr>
          <w:rStyle w:val="FootnoteReference"/>
        </w:rPr>
        <w:footnoteRef/>
      </w:r>
      <w:r>
        <w:t xml:space="preserve"> </w:t>
      </w:r>
      <w:r>
        <w:rPr>
          <w:i/>
        </w:rPr>
        <w:t xml:space="preserve">Id. </w:t>
      </w:r>
      <w:r w:rsidRPr="00D24E60">
        <w:t>§ 39.159</w:t>
      </w:r>
      <w:r>
        <w:t xml:space="preserve">(b)(3). </w:t>
      </w:r>
    </w:p>
  </w:footnote>
  <w:footnote w:id="35">
    <w:p w14:paraId="2B9D11B7" w14:textId="2A78DCCB" w:rsidR="002960DB" w:rsidRPr="00D24E60" w:rsidRDefault="002960DB" w:rsidP="00BE0F76">
      <w:pPr>
        <w:pStyle w:val="FootnoteText"/>
        <w:ind w:firstLine="0"/>
        <w:rPr>
          <w:lang w:val="en-US"/>
        </w:rPr>
      </w:pPr>
      <w:r>
        <w:rPr>
          <w:rStyle w:val="FootnoteReference"/>
        </w:rPr>
        <w:footnoteRef/>
      </w:r>
      <w:r>
        <w:t xml:space="preserve"> </w:t>
      </w:r>
      <w:r>
        <w:rPr>
          <w:i/>
        </w:rPr>
        <w:t xml:space="preserve">Id. </w:t>
      </w:r>
      <w:r>
        <w:t>§ 36.003(a).</w:t>
      </w:r>
    </w:p>
  </w:footnote>
  <w:footnote w:id="36">
    <w:p w14:paraId="21A88CF5" w14:textId="49E3144C" w:rsidR="002960DB" w:rsidRPr="00DA4541" w:rsidRDefault="002960DB" w:rsidP="00DA4541">
      <w:pPr>
        <w:pStyle w:val="FootnoteText"/>
        <w:ind w:firstLine="0"/>
        <w:rPr>
          <w:lang w:val="en-US"/>
        </w:rPr>
      </w:pPr>
      <w:r>
        <w:rPr>
          <w:rStyle w:val="FootnoteReference"/>
        </w:rPr>
        <w:footnoteRef/>
      </w:r>
      <w:r>
        <w:t xml:space="preserve"> For example, solar resources delivered greater generation than expected during Uri. </w:t>
      </w:r>
      <w:r w:rsidRPr="00DA4541">
        <w:t>Joshua W.</w:t>
      </w:r>
      <w:r>
        <w:t xml:space="preserve"> </w:t>
      </w:r>
      <w:r w:rsidRPr="00DA4541">
        <w:t xml:space="preserve">Busby, </w:t>
      </w:r>
      <w:r>
        <w:t>et al.,</w:t>
      </w:r>
      <w:r w:rsidRPr="00DA4541">
        <w:t xml:space="preserve"> </w:t>
      </w:r>
      <w:r w:rsidRPr="005822BD">
        <w:rPr>
          <w:i/>
        </w:rPr>
        <w:t xml:space="preserve">Cascading </w:t>
      </w:r>
      <w:r>
        <w:rPr>
          <w:i/>
          <w:iCs/>
        </w:rPr>
        <w:t>R</w:t>
      </w:r>
      <w:r w:rsidRPr="005822BD">
        <w:rPr>
          <w:i/>
        </w:rPr>
        <w:t xml:space="preserve">isks: Understanding the 2021 </w:t>
      </w:r>
      <w:r>
        <w:rPr>
          <w:i/>
          <w:iCs/>
        </w:rPr>
        <w:t>W</w:t>
      </w:r>
      <w:r w:rsidRPr="005822BD">
        <w:rPr>
          <w:i/>
        </w:rPr>
        <w:t xml:space="preserve">inter </w:t>
      </w:r>
      <w:r>
        <w:rPr>
          <w:i/>
          <w:iCs/>
        </w:rPr>
        <w:t>B</w:t>
      </w:r>
      <w:r w:rsidRPr="005822BD">
        <w:rPr>
          <w:i/>
        </w:rPr>
        <w:t>lackout in Texas</w:t>
      </w:r>
      <w:r>
        <w:rPr>
          <w:i/>
          <w:iCs/>
        </w:rPr>
        <w:t>,</w:t>
      </w:r>
      <w:r w:rsidRPr="00DA4541">
        <w:t xml:space="preserve"> </w:t>
      </w:r>
      <w:r>
        <w:t xml:space="preserve">77 </w:t>
      </w:r>
      <w:r w:rsidRPr="005822BD">
        <w:rPr>
          <w:smallCaps/>
        </w:rPr>
        <w:t xml:space="preserve">Energy </w:t>
      </w:r>
      <w:r>
        <w:rPr>
          <w:smallCaps/>
        </w:rPr>
        <w:t>Rsch.</w:t>
      </w:r>
      <w:r w:rsidRPr="005822BD">
        <w:rPr>
          <w:smallCaps/>
        </w:rPr>
        <w:t xml:space="preserve"> &amp; Soc</w:t>
      </w:r>
      <w:r>
        <w:rPr>
          <w:smallCaps/>
        </w:rPr>
        <w:t>.</w:t>
      </w:r>
      <w:r w:rsidRPr="005822BD">
        <w:rPr>
          <w:smallCaps/>
        </w:rPr>
        <w:t xml:space="preserve"> Sci</w:t>
      </w:r>
      <w:r>
        <w:rPr>
          <w:smallCaps/>
        </w:rPr>
        <w:t>. 1, 4</w:t>
      </w:r>
      <w:r w:rsidRPr="00DA4541">
        <w:t xml:space="preserve"> (2021).</w:t>
      </w:r>
    </w:p>
  </w:footnote>
  <w:footnote w:id="37">
    <w:p w14:paraId="28C42894" w14:textId="6686C18C" w:rsidR="002960DB" w:rsidRPr="005774AD" w:rsidRDefault="002960DB" w:rsidP="0065068F">
      <w:pPr>
        <w:pStyle w:val="FootnoteText"/>
        <w:spacing w:after="0"/>
        <w:ind w:firstLine="0"/>
        <w:rPr>
          <w:lang w:val="en-US"/>
        </w:rPr>
      </w:pPr>
      <w:r>
        <w:rPr>
          <w:rStyle w:val="FootnoteReference"/>
        </w:rPr>
        <w:footnoteRef/>
      </w:r>
      <w:r>
        <w:t xml:space="preserve"> ERCOT, </w:t>
      </w:r>
      <w:r w:rsidRPr="00D24E60">
        <w:rPr>
          <w:i/>
        </w:rPr>
        <w:t>supra</w:t>
      </w:r>
      <w:r>
        <w:t xml:space="preserve"> note </w:t>
      </w:r>
      <w:r>
        <w:fldChar w:fldCharType="begin"/>
      </w:r>
      <w:r>
        <w:instrText xml:space="preserve"> NOTEREF _Ref121844797 \h </w:instrText>
      </w:r>
      <w:r>
        <w:fldChar w:fldCharType="separate"/>
      </w:r>
      <w:r w:rsidR="001739C2">
        <w:t>19</w:t>
      </w:r>
      <w:r>
        <w:fldChar w:fldCharType="end"/>
      </w:r>
      <w:r>
        <w:t>, at 10.</w:t>
      </w:r>
      <w:r>
        <w:rPr>
          <w:i/>
          <w:iCs/>
        </w:rPr>
        <w:t xml:space="preserve"> </w:t>
      </w:r>
    </w:p>
  </w:footnote>
  <w:footnote w:id="38">
    <w:p w14:paraId="1DB3C927" w14:textId="278E7144" w:rsidR="002960DB" w:rsidRPr="00501EE6" w:rsidRDefault="002960DB" w:rsidP="00501EE6">
      <w:pPr>
        <w:pStyle w:val="FootnoteText"/>
        <w:ind w:firstLine="0"/>
        <w:rPr>
          <w:lang w:val="en-US"/>
        </w:rPr>
      </w:pPr>
      <w:r>
        <w:rPr>
          <w:rStyle w:val="FootnoteReference"/>
        </w:rPr>
        <w:footnoteRef/>
      </w:r>
      <w:r>
        <w:t xml:space="preserve"> </w:t>
      </w:r>
      <w:r>
        <w:rPr>
          <w:i/>
          <w:iCs/>
          <w:lang w:val="en-US"/>
        </w:rPr>
        <w:t>See, e.g.,</w:t>
      </w:r>
      <w:r w:rsidRPr="007A74C9">
        <w:rPr>
          <w:i/>
          <w:iCs/>
          <w:lang w:val="en-US"/>
        </w:rPr>
        <w:t xml:space="preserve"> </w:t>
      </w:r>
      <w:r w:rsidRPr="00501EE6">
        <w:rPr>
          <w:smallCaps/>
          <w:lang w:val="en-US"/>
        </w:rPr>
        <w:t>Sylwia Bialek &amp; Burçin</w:t>
      </w:r>
      <w:r w:rsidRPr="00D73985">
        <w:rPr>
          <w:lang w:val="en-US"/>
        </w:rPr>
        <w:t xml:space="preserve"> </w:t>
      </w:r>
      <w:r w:rsidRPr="00D24E60">
        <w:rPr>
          <w:smallCaps/>
          <w:lang w:val="en-US"/>
        </w:rPr>
        <w:t>Ünel</w:t>
      </w:r>
      <w:r>
        <w:rPr>
          <w:lang w:val="en-US"/>
        </w:rPr>
        <w:t xml:space="preserve">, </w:t>
      </w:r>
      <w:r w:rsidRPr="00501EE6">
        <w:rPr>
          <w:smallCaps/>
          <w:lang w:val="en-US"/>
        </w:rPr>
        <w:t>Institute for Policy Integrity,</w:t>
      </w:r>
      <w:r>
        <w:rPr>
          <w:lang w:val="en-US"/>
        </w:rPr>
        <w:t xml:space="preserve"> </w:t>
      </w:r>
      <w:r w:rsidRPr="00501EE6">
        <w:rPr>
          <w:smallCaps/>
          <w:lang w:val="en-US"/>
        </w:rPr>
        <w:t>Capacity Markets and Externalities Avoiding Unnecessary and Problematic Reforms</w:t>
      </w:r>
      <w:r>
        <w:rPr>
          <w:smallCaps/>
          <w:lang w:val="en-US"/>
        </w:rPr>
        <w:t xml:space="preserve"> 13 (2018), </w:t>
      </w:r>
      <w:hyperlink r:id="rId5" w:history="1">
        <w:r w:rsidRPr="00501EE6">
          <w:rPr>
            <w:rStyle w:val="Hyperlink"/>
          </w:rPr>
          <w:t>https://policyintegrity.org/files/publications/Capacity_Markets_and_Externalities_Report.pdf</w:t>
        </w:r>
      </w:hyperlink>
      <w:r>
        <w:rPr>
          <w:lang w:val="en-US"/>
        </w:rPr>
        <w:t xml:space="preserve"> (last visited Dec. 14, 2022). </w:t>
      </w:r>
    </w:p>
  </w:footnote>
  <w:footnote w:id="39">
    <w:p w14:paraId="4D40EC71" w14:textId="52F43CC7" w:rsidR="002960DB" w:rsidRPr="00867394" w:rsidRDefault="002960DB" w:rsidP="00FB7471">
      <w:pPr>
        <w:pStyle w:val="FootnoteText"/>
        <w:spacing w:after="0"/>
        <w:ind w:firstLine="0"/>
        <w:rPr>
          <w:lang w:val="en-US"/>
        </w:rPr>
      </w:pPr>
      <w:r>
        <w:rPr>
          <w:rStyle w:val="FootnoteReference"/>
        </w:rPr>
        <w:footnoteRef/>
      </w:r>
      <w:r>
        <w:t xml:space="preserve"> For example, Joskow and Tirole demonstrate that, in the presence of price caps </w:t>
      </w:r>
      <w:r w:rsidR="00CC34B1">
        <w:t xml:space="preserve">that </w:t>
      </w:r>
      <w:r>
        <w:t xml:space="preserve">reduce investors’ revenue from the energy market, payments for offering generation capacity can restore an optimal investment outcome as long as all generation types are eligible. </w:t>
      </w:r>
      <w:r>
        <w:rPr>
          <w:iCs/>
          <w:lang w:val="en-US"/>
        </w:rPr>
        <w:t xml:space="preserve">Paul Joskow &amp; Jean Tirole, </w:t>
      </w:r>
      <w:r w:rsidRPr="00F94E34">
        <w:rPr>
          <w:i/>
        </w:rPr>
        <w:t>Reliability and Competitive Electricity Markets</w:t>
      </w:r>
      <w:r>
        <w:t xml:space="preserve">, 38 </w:t>
      </w:r>
      <w:r w:rsidRPr="00F94E34">
        <w:rPr>
          <w:smallCaps/>
        </w:rPr>
        <w:t>RAND Journal of Econs</w:t>
      </w:r>
      <w:r>
        <w:rPr>
          <w:smallCaps/>
        </w:rPr>
        <w:t>.</w:t>
      </w:r>
      <w:r>
        <w:t xml:space="preserve"> 60, 83 (2007)</w:t>
      </w:r>
      <w:r>
        <w:rPr>
          <w:lang w:val="en-US"/>
        </w:rPr>
        <w:t>.</w:t>
      </w:r>
    </w:p>
  </w:footnote>
  <w:footnote w:id="40">
    <w:p w14:paraId="73BC53EE" w14:textId="44BFA00F" w:rsidR="002960DB" w:rsidRPr="008A3950" w:rsidRDefault="002960DB" w:rsidP="008A3950">
      <w:pPr>
        <w:pStyle w:val="FootnoteText"/>
        <w:ind w:firstLine="0"/>
        <w:rPr>
          <w:lang w:val="en-US"/>
        </w:rPr>
      </w:pPr>
      <w:r>
        <w:rPr>
          <w:rStyle w:val="FootnoteReference"/>
        </w:rPr>
        <w:footnoteRef/>
      </w:r>
      <w:r>
        <w:t xml:space="preserve"> </w:t>
      </w:r>
      <w:r w:rsidRPr="008A3950">
        <w:rPr>
          <w:i/>
          <w:iCs/>
        </w:rPr>
        <w:t xml:space="preserve">E.g., </w:t>
      </w:r>
      <w:r>
        <w:rPr>
          <w:i/>
          <w:iCs/>
        </w:rPr>
        <w:t>N.Y.</w:t>
      </w:r>
      <w:r w:rsidRPr="008A3950">
        <w:rPr>
          <w:i/>
          <w:iCs/>
        </w:rPr>
        <w:t xml:space="preserve"> Indep. Sys. Operator, Inc.,</w:t>
      </w:r>
      <w:r w:rsidRPr="000D7FA2">
        <w:t xml:space="preserve"> 179 FERC ¶ 61,102</w:t>
      </w:r>
      <w:r>
        <w:t>, at P 36</w:t>
      </w:r>
      <w:r w:rsidRPr="000D7FA2">
        <w:t xml:space="preserve"> (2022)</w:t>
      </w:r>
      <w:r>
        <w:t xml:space="preserve"> (finding that NYISO’s</w:t>
      </w:r>
      <w:r w:rsidRPr="00FB38E7">
        <w:t xml:space="preserve"> </w:t>
      </w:r>
      <w:r w:rsidRPr="00C82354">
        <w:t>minimum offer price rules</w:t>
      </w:r>
      <w:r>
        <w:t xml:space="preserve"> for capacity resources had “</w:t>
      </w:r>
      <w:r w:rsidRPr="003C42F9">
        <w:t>considerable cost</w:t>
      </w:r>
      <w:r>
        <w:t>,” including “</w:t>
      </w:r>
      <w:r w:rsidRPr="003C42F9">
        <w:t>over-procure</w:t>
      </w:r>
      <w:r>
        <w:t>[ment] [of]</w:t>
      </w:r>
      <w:r w:rsidRPr="003C42F9">
        <w:t xml:space="preserve"> capacity</w:t>
      </w:r>
      <w:r>
        <w:t xml:space="preserve">”). </w:t>
      </w:r>
    </w:p>
  </w:footnote>
  <w:footnote w:id="41">
    <w:p w14:paraId="51CF9702" w14:textId="7892E1EB" w:rsidR="002960DB" w:rsidRPr="0001495E" w:rsidRDefault="002960DB" w:rsidP="00524B7B">
      <w:pPr>
        <w:pStyle w:val="FootnoteText"/>
        <w:ind w:firstLine="0"/>
        <w:rPr>
          <w:lang w:val="en-US"/>
        </w:rPr>
      </w:pPr>
      <w:r>
        <w:rPr>
          <w:rStyle w:val="FootnoteReference"/>
        </w:rPr>
        <w:footnoteRef/>
      </w:r>
      <w:r>
        <w:t xml:space="preserve"> </w:t>
      </w:r>
      <w:r w:rsidRPr="00D24E60">
        <w:rPr>
          <w:smallCaps/>
          <w:lang w:val="en-US"/>
        </w:rPr>
        <w:t>E3 Report</w:t>
      </w:r>
      <w:r>
        <w:rPr>
          <w:lang w:val="en-US"/>
        </w:rPr>
        <w:t xml:space="preserve">, </w:t>
      </w:r>
      <w:r w:rsidRPr="00D24E60">
        <w:rPr>
          <w:i/>
          <w:lang w:val="en-US"/>
        </w:rPr>
        <w:t>supra</w:t>
      </w:r>
      <w:r>
        <w:rPr>
          <w:lang w:val="en-US"/>
        </w:rPr>
        <w:t xml:space="preserve"> note </w:t>
      </w:r>
      <w:r>
        <w:rPr>
          <w:lang w:val="en-US"/>
        </w:rPr>
        <w:fldChar w:fldCharType="begin"/>
      </w:r>
      <w:r>
        <w:rPr>
          <w:lang w:val="en-US"/>
        </w:rPr>
        <w:instrText xml:space="preserve"> NOTEREF _Ref121325512 \h </w:instrText>
      </w:r>
      <w:r>
        <w:rPr>
          <w:lang w:val="en-US"/>
        </w:rPr>
      </w:r>
      <w:r>
        <w:rPr>
          <w:lang w:val="en-US"/>
        </w:rPr>
        <w:fldChar w:fldCharType="separate"/>
      </w:r>
      <w:r w:rsidR="001739C2">
        <w:rPr>
          <w:lang w:val="en-US"/>
        </w:rPr>
        <w:t>5</w:t>
      </w:r>
      <w:r>
        <w:rPr>
          <w:lang w:val="en-US"/>
        </w:rPr>
        <w:fldChar w:fldCharType="end"/>
      </w:r>
      <w:r>
        <w:rPr>
          <w:lang w:val="en-US"/>
        </w:rPr>
        <w:t xml:space="preserve">, at 74. </w:t>
      </w:r>
    </w:p>
  </w:footnote>
  <w:footnote w:id="42">
    <w:p w14:paraId="300C7D04" w14:textId="77777777" w:rsidR="002960DB" w:rsidRPr="00C349E7" w:rsidRDefault="002960DB" w:rsidP="00C95CDD">
      <w:pPr>
        <w:pStyle w:val="FootnoteText"/>
        <w:ind w:firstLine="0"/>
        <w:rPr>
          <w:lang w:val="en-US"/>
        </w:rPr>
      </w:pPr>
      <w:r>
        <w:rPr>
          <w:rStyle w:val="FootnoteReference"/>
        </w:rPr>
        <w:footnoteRef/>
      </w:r>
      <w:r>
        <w:t xml:space="preserve"> </w:t>
      </w:r>
      <w:r w:rsidRPr="001D0533">
        <w:rPr>
          <w:i/>
        </w:rPr>
        <w:t>E.g.</w:t>
      </w:r>
      <w:r w:rsidRPr="001D0533">
        <w:t xml:space="preserve">, </w:t>
      </w:r>
      <w:r w:rsidRPr="001D0533">
        <w:rPr>
          <w:i/>
          <w:lang w:val="en-US"/>
        </w:rPr>
        <w:t>Hearing on Proposed Changes to ERCOT Market Design Before the H. Comm. On State Affs.</w:t>
      </w:r>
      <w:r w:rsidRPr="001D0533">
        <w:rPr>
          <w:lang w:val="en-US"/>
        </w:rPr>
        <w:t>, 2022 Leg., 87th Sess. at 1:30:04 (statement of Chairman Lake).</w:t>
      </w:r>
    </w:p>
  </w:footnote>
  <w:footnote w:id="43">
    <w:p w14:paraId="59A53D92" w14:textId="1D9404E9" w:rsidR="002960DB" w:rsidRPr="009D4A9D" w:rsidRDefault="002960DB" w:rsidP="009B7594">
      <w:pPr>
        <w:pStyle w:val="FootnoteText"/>
        <w:ind w:firstLine="0"/>
        <w:rPr>
          <w:lang w:val="en-US"/>
        </w:rPr>
      </w:pPr>
      <w:r>
        <w:rPr>
          <w:rStyle w:val="FootnoteReference"/>
        </w:rPr>
        <w:footnoteRef/>
      </w:r>
      <w:r>
        <w:t xml:space="preserve"> </w:t>
      </w:r>
      <w:r w:rsidRPr="00D24E60">
        <w:rPr>
          <w:smallCaps/>
        </w:rPr>
        <w:t>E3 Report</w:t>
      </w:r>
      <w:r>
        <w:t xml:space="preserve">, </w:t>
      </w:r>
      <w:r w:rsidRPr="00D24E60">
        <w:rPr>
          <w:i/>
        </w:rPr>
        <w:t>supra</w:t>
      </w:r>
      <w:r>
        <w:t xml:space="preserve"> note </w:t>
      </w:r>
      <w:r>
        <w:fldChar w:fldCharType="begin"/>
      </w:r>
      <w:r>
        <w:instrText xml:space="preserve"> NOTEREF _Ref121325512 \h </w:instrText>
      </w:r>
      <w:r>
        <w:fldChar w:fldCharType="separate"/>
      </w:r>
      <w:r w:rsidR="001739C2">
        <w:t>5</w:t>
      </w:r>
      <w:r>
        <w:fldChar w:fldCharType="end"/>
      </w:r>
      <w:r>
        <w:t>, at 74–75.</w:t>
      </w:r>
    </w:p>
  </w:footnote>
  <w:footnote w:id="44">
    <w:p w14:paraId="79C78BD1" w14:textId="1BA11A60" w:rsidR="002960DB" w:rsidRPr="00C349E7" w:rsidRDefault="002960DB" w:rsidP="009B7594">
      <w:pPr>
        <w:pStyle w:val="FootnoteText"/>
        <w:ind w:firstLine="0"/>
        <w:rPr>
          <w:lang w:val="en-US"/>
        </w:rPr>
      </w:pPr>
      <w:r>
        <w:rPr>
          <w:rStyle w:val="FootnoteReference"/>
        </w:rPr>
        <w:footnoteRef/>
      </w:r>
      <w:r>
        <w:t xml:space="preserve"> </w:t>
      </w:r>
      <w:r w:rsidRPr="00F00371">
        <w:rPr>
          <w:i/>
          <w:iCs/>
        </w:rPr>
        <w:t>Id.</w:t>
      </w:r>
      <w:r>
        <w:t xml:space="preserve"> at 27. </w:t>
      </w:r>
    </w:p>
  </w:footnote>
  <w:footnote w:id="45">
    <w:p w14:paraId="49319503" w14:textId="0C867833" w:rsidR="002960DB" w:rsidRPr="0055484D" w:rsidRDefault="002960DB" w:rsidP="009B7594">
      <w:pPr>
        <w:pStyle w:val="FootnoteText"/>
        <w:spacing w:after="0"/>
        <w:ind w:firstLine="0"/>
      </w:pPr>
      <w:r>
        <w:rPr>
          <w:rStyle w:val="FootnoteReference"/>
        </w:rPr>
        <w:footnoteRef/>
      </w:r>
      <w:r>
        <w:t xml:space="preserve"> </w:t>
      </w:r>
      <w:r w:rsidRPr="00D24E60">
        <w:rPr>
          <w:smallCaps/>
        </w:rPr>
        <w:t xml:space="preserve">Bialek &amp; </w:t>
      </w:r>
      <w:r>
        <w:rPr>
          <w:smallCaps/>
        </w:rPr>
        <w:t>Ü</w:t>
      </w:r>
      <w:r w:rsidRPr="00731542">
        <w:rPr>
          <w:smallCaps/>
        </w:rPr>
        <w:t>nel</w:t>
      </w:r>
      <w:r>
        <w:t xml:space="preserve">, </w:t>
      </w:r>
      <w:r w:rsidRPr="00731542">
        <w:rPr>
          <w:i/>
        </w:rPr>
        <w:t>supra</w:t>
      </w:r>
      <w:r>
        <w:t xml:space="preserve"> note</w:t>
      </w:r>
      <w:r w:rsidR="00774B4F">
        <w:t xml:space="preserve"> </w:t>
      </w:r>
      <w:r w:rsidR="00774B4F">
        <w:fldChar w:fldCharType="begin"/>
      </w:r>
      <w:r w:rsidR="00774B4F">
        <w:instrText xml:space="preserve"> NOTEREF _Ref121983489 \h </w:instrText>
      </w:r>
      <w:r w:rsidR="00774B4F">
        <w:fldChar w:fldCharType="separate"/>
      </w:r>
      <w:r w:rsidR="001739C2">
        <w:t>2</w:t>
      </w:r>
      <w:r w:rsidR="00774B4F">
        <w:fldChar w:fldCharType="end"/>
      </w:r>
      <w:r>
        <w:t>, at 22.</w:t>
      </w:r>
    </w:p>
  </w:footnote>
  <w:footnote w:id="46">
    <w:p w14:paraId="446CD622" w14:textId="5D27FB1D" w:rsidR="002960DB" w:rsidRPr="00294702" w:rsidRDefault="002960DB" w:rsidP="00294702">
      <w:pPr>
        <w:pStyle w:val="FootnoteText"/>
        <w:spacing w:after="0"/>
        <w:ind w:firstLine="0"/>
        <w:rPr>
          <w:lang w:val="en-US"/>
        </w:rPr>
      </w:pPr>
      <w:r>
        <w:rPr>
          <w:rStyle w:val="FootnoteReference"/>
        </w:rPr>
        <w:footnoteRef/>
      </w:r>
      <w:r>
        <w:t xml:space="preserve"> </w:t>
      </w:r>
      <w:r w:rsidRPr="00511F34">
        <w:t>Tex. Util. Code Ann. § 39.159</w:t>
      </w:r>
      <w:r>
        <w:t>(c).</w:t>
      </w:r>
    </w:p>
  </w:footnote>
  <w:footnote w:id="47">
    <w:p w14:paraId="762204EE" w14:textId="1B8A7E14" w:rsidR="002960DB" w:rsidRPr="00AC5184" w:rsidRDefault="002960DB" w:rsidP="00710E13">
      <w:pPr>
        <w:pStyle w:val="NoSpacing"/>
        <w:ind w:left="0"/>
        <w:jc w:val="left"/>
        <w:rPr>
          <w:sz w:val="20"/>
          <w:szCs w:val="20"/>
          <w:lang w:val="en-US"/>
        </w:rPr>
      </w:pPr>
      <w:r w:rsidRPr="00AC5184">
        <w:rPr>
          <w:rStyle w:val="FootnoteReference"/>
        </w:rPr>
        <w:footnoteRef/>
      </w:r>
      <w:r w:rsidRPr="00AC5184">
        <w:rPr>
          <w:sz w:val="20"/>
          <w:szCs w:val="20"/>
        </w:rPr>
        <w:t xml:space="preserve"> </w:t>
      </w:r>
      <w:r w:rsidRPr="00731542">
        <w:rPr>
          <w:smallCaps/>
          <w:sz w:val="20"/>
          <w:szCs w:val="20"/>
        </w:rPr>
        <w:t>E3 Report</w:t>
      </w:r>
      <w:r w:rsidRPr="00550511">
        <w:rPr>
          <w:sz w:val="20"/>
          <w:szCs w:val="20"/>
        </w:rPr>
        <w:t xml:space="preserve">, </w:t>
      </w:r>
      <w:r w:rsidRPr="00731542">
        <w:rPr>
          <w:i/>
          <w:sz w:val="20"/>
          <w:szCs w:val="20"/>
          <w:lang w:val="en-US"/>
        </w:rPr>
        <w:t>supra</w:t>
      </w:r>
      <w:r>
        <w:rPr>
          <w:sz w:val="20"/>
          <w:szCs w:val="20"/>
          <w:lang w:val="en-US"/>
        </w:rPr>
        <w:t xml:space="preserve"> note </w:t>
      </w:r>
      <w:r>
        <w:rPr>
          <w:sz w:val="20"/>
          <w:szCs w:val="20"/>
          <w:lang w:val="en-US"/>
        </w:rPr>
        <w:fldChar w:fldCharType="begin"/>
      </w:r>
      <w:r>
        <w:rPr>
          <w:sz w:val="20"/>
          <w:szCs w:val="20"/>
          <w:lang w:val="en-US"/>
        </w:rPr>
        <w:instrText xml:space="preserve"> NOTEREF _Ref121325512 \h </w:instrText>
      </w:r>
      <w:r>
        <w:rPr>
          <w:sz w:val="20"/>
          <w:szCs w:val="20"/>
          <w:lang w:val="en-US"/>
        </w:rPr>
      </w:r>
      <w:r>
        <w:rPr>
          <w:sz w:val="20"/>
          <w:szCs w:val="20"/>
          <w:lang w:val="en-US"/>
        </w:rPr>
        <w:fldChar w:fldCharType="separate"/>
      </w:r>
      <w:r w:rsidR="001739C2">
        <w:rPr>
          <w:sz w:val="20"/>
          <w:szCs w:val="20"/>
          <w:lang w:val="en-US"/>
        </w:rPr>
        <w:t>5</w:t>
      </w:r>
      <w:r>
        <w:rPr>
          <w:sz w:val="20"/>
          <w:szCs w:val="20"/>
          <w:lang w:val="en-US"/>
        </w:rPr>
        <w:fldChar w:fldCharType="end"/>
      </w:r>
      <w:r>
        <w:rPr>
          <w:sz w:val="20"/>
          <w:szCs w:val="20"/>
          <w:lang w:val="en-US"/>
        </w:rPr>
        <w:t>,</w:t>
      </w:r>
      <w:r w:rsidRPr="00AC5184">
        <w:rPr>
          <w:sz w:val="20"/>
          <w:szCs w:val="20"/>
          <w:lang w:val="en-US"/>
        </w:rPr>
        <w:t xml:space="preserve"> </w:t>
      </w:r>
      <w:r w:rsidRPr="00550511">
        <w:rPr>
          <w:sz w:val="20"/>
          <w:szCs w:val="20"/>
        </w:rPr>
        <w:t>at 101.</w:t>
      </w:r>
    </w:p>
  </w:footnote>
  <w:footnote w:id="48">
    <w:p w14:paraId="12240C89" w14:textId="12DDC20B" w:rsidR="002960DB" w:rsidRPr="00AC5184" w:rsidRDefault="002960DB" w:rsidP="00710E13">
      <w:pPr>
        <w:pStyle w:val="NoSpacing"/>
        <w:ind w:left="0"/>
        <w:jc w:val="left"/>
        <w:rPr>
          <w:sz w:val="20"/>
          <w:szCs w:val="20"/>
          <w:lang w:val="en-US"/>
        </w:rPr>
      </w:pPr>
      <w:r w:rsidRPr="00AC5184">
        <w:rPr>
          <w:rStyle w:val="FootnoteReference"/>
        </w:rPr>
        <w:footnoteRef/>
      </w:r>
      <w:r w:rsidRPr="00AC5184">
        <w:rPr>
          <w:sz w:val="20"/>
          <w:szCs w:val="20"/>
        </w:rPr>
        <w:t xml:space="preserve"> </w:t>
      </w:r>
      <w:r w:rsidRPr="00FD62E9">
        <w:rPr>
          <w:i/>
          <w:iCs/>
          <w:sz w:val="20"/>
          <w:szCs w:val="20"/>
        </w:rPr>
        <w:t>Id.</w:t>
      </w:r>
      <w:r w:rsidRPr="00AC5184">
        <w:rPr>
          <w:sz w:val="20"/>
          <w:szCs w:val="20"/>
          <w:lang w:val="en-US"/>
        </w:rPr>
        <w:t xml:space="preserve"> at 102</w:t>
      </w:r>
      <w:r>
        <w:rPr>
          <w:sz w:val="20"/>
          <w:szCs w:val="20"/>
          <w:lang w:val="en-US"/>
        </w:rPr>
        <w:t xml:space="preserve"> (“</w:t>
      </w:r>
      <w:r w:rsidRPr="008D3E1C">
        <w:rPr>
          <w:sz w:val="20"/>
          <w:szCs w:val="20"/>
          <w:lang w:val="en-US"/>
        </w:rPr>
        <w:t>Even under a seasonal implementation approach, prices would be expected to clear in a manner that generators earn the same total annual revenues through the LSERO or FRM construct as illustrated in Figure 41</w:t>
      </w:r>
      <w:r>
        <w:rPr>
          <w:sz w:val="20"/>
          <w:szCs w:val="20"/>
          <w:lang w:val="en-US"/>
        </w:rPr>
        <w:t>.”).</w:t>
      </w:r>
    </w:p>
  </w:footnote>
  <w:footnote w:id="49">
    <w:p w14:paraId="0C0190CE" w14:textId="292AD33C" w:rsidR="002960DB" w:rsidRPr="00642EBE" w:rsidRDefault="002960DB" w:rsidP="00710E13">
      <w:pPr>
        <w:pStyle w:val="FootnoteText"/>
        <w:spacing w:after="0"/>
        <w:ind w:firstLine="0"/>
        <w:rPr>
          <w:lang w:val="en-US"/>
        </w:rPr>
      </w:pPr>
      <w:r>
        <w:rPr>
          <w:rStyle w:val="FootnoteReference"/>
        </w:rPr>
        <w:footnoteRef/>
      </w:r>
      <w:r>
        <w:t xml:space="preserve"> Bialek &amp; </w:t>
      </w:r>
      <w:r w:rsidRPr="00443F84">
        <w:rPr>
          <w:smallCaps/>
          <w:lang w:val="en-US"/>
        </w:rPr>
        <w:t>Ü</w:t>
      </w:r>
      <w:r>
        <w:t xml:space="preserve">nel, </w:t>
      </w:r>
      <w:r w:rsidRPr="00731542">
        <w:rPr>
          <w:i/>
        </w:rPr>
        <w:t>supra</w:t>
      </w:r>
      <w:r>
        <w:t xml:space="preserve"> note</w:t>
      </w:r>
      <w:r w:rsidR="00774B4F">
        <w:t xml:space="preserve"> </w:t>
      </w:r>
      <w:r w:rsidR="00774B4F">
        <w:fldChar w:fldCharType="begin"/>
      </w:r>
      <w:r w:rsidR="00774B4F">
        <w:instrText xml:space="preserve"> NOTEREF _Ref121983489 \h </w:instrText>
      </w:r>
      <w:r w:rsidR="00774B4F">
        <w:fldChar w:fldCharType="separate"/>
      </w:r>
      <w:r w:rsidR="001739C2">
        <w:t>2</w:t>
      </w:r>
      <w:r w:rsidR="00774B4F">
        <w:fldChar w:fldCharType="end"/>
      </w:r>
      <w:r>
        <w:t>, at 24.</w:t>
      </w:r>
    </w:p>
  </w:footnote>
  <w:footnote w:id="50">
    <w:p w14:paraId="38252FC3" w14:textId="6F21FDD4" w:rsidR="002960DB" w:rsidRPr="00C95A1D" w:rsidRDefault="002960DB" w:rsidP="009B7594">
      <w:pPr>
        <w:pStyle w:val="FootnoteText"/>
        <w:spacing w:after="0"/>
        <w:ind w:firstLine="0"/>
        <w:rPr>
          <w:lang w:val="en-US"/>
        </w:rPr>
      </w:pPr>
      <w:r>
        <w:rPr>
          <w:rStyle w:val="FootnoteReference"/>
        </w:rPr>
        <w:footnoteRef/>
      </w:r>
      <w:r>
        <w:t xml:space="preserve"> </w:t>
      </w:r>
      <w:r w:rsidRPr="00C21243">
        <w:t>Conleigh</w:t>
      </w:r>
      <w:r>
        <w:t xml:space="preserve"> </w:t>
      </w:r>
      <w:r w:rsidRPr="00C21243">
        <w:t>Byers</w:t>
      </w:r>
      <w:r>
        <w:t xml:space="preserve"> et al., </w:t>
      </w:r>
      <w:r w:rsidRPr="00B664E7">
        <w:rPr>
          <w:i/>
        </w:rPr>
        <w:t xml:space="preserve">Capacity </w:t>
      </w:r>
      <w:r>
        <w:rPr>
          <w:i/>
          <w:iCs/>
        </w:rPr>
        <w:t>M</w:t>
      </w:r>
      <w:r w:rsidRPr="00430A20">
        <w:rPr>
          <w:i/>
        </w:rPr>
        <w:t xml:space="preserve">arket </w:t>
      </w:r>
      <w:r>
        <w:rPr>
          <w:i/>
          <w:iCs/>
        </w:rPr>
        <w:t>D</w:t>
      </w:r>
      <w:r w:rsidRPr="00430A20">
        <w:rPr>
          <w:i/>
        </w:rPr>
        <w:t xml:space="preserve">esign and </w:t>
      </w:r>
      <w:r>
        <w:rPr>
          <w:i/>
          <w:iCs/>
        </w:rPr>
        <w:t>R</w:t>
      </w:r>
      <w:r w:rsidRPr="00430A20">
        <w:rPr>
          <w:i/>
        </w:rPr>
        <w:t>enew</w:t>
      </w:r>
      <w:r w:rsidRPr="00C21243">
        <w:rPr>
          <w:i/>
        </w:rPr>
        <w:t xml:space="preserve">able </w:t>
      </w:r>
      <w:r>
        <w:rPr>
          <w:i/>
          <w:iCs/>
        </w:rPr>
        <w:t>E</w:t>
      </w:r>
      <w:r w:rsidRPr="00430A20">
        <w:rPr>
          <w:i/>
        </w:rPr>
        <w:t xml:space="preserve">nergy: Performance </w:t>
      </w:r>
      <w:r>
        <w:rPr>
          <w:i/>
          <w:iCs/>
        </w:rPr>
        <w:t>I</w:t>
      </w:r>
      <w:r w:rsidRPr="00430A20">
        <w:rPr>
          <w:i/>
        </w:rPr>
        <w:t xml:space="preserve">ncentives, </w:t>
      </w:r>
      <w:r>
        <w:rPr>
          <w:i/>
          <w:iCs/>
        </w:rPr>
        <w:t>Q</w:t>
      </w:r>
      <w:r w:rsidRPr="00430A20">
        <w:rPr>
          <w:i/>
        </w:rPr>
        <w:t xml:space="preserve">ualifying </w:t>
      </w:r>
      <w:r>
        <w:rPr>
          <w:i/>
          <w:iCs/>
        </w:rPr>
        <w:t>C</w:t>
      </w:r>
      <w:r w:rsidRPr="00430A20">
        <w:rPr>
          <w:i/>
        </w:rPr>
        <w:t xml:space="preserve">apacity, and </w:t>
      </w:r>
      <w:r>
        <w:rPr>
          <w:i/>
          <w:iCs/>
        </w:rPr>
        <w:t>D</w:t>
      </w:r>
      <w:r w:rsidRPr="00430A20">
        <w:rPr>
          <w:i/>
        </w:rPr>
        <w:t xml:space="preserve">emand </w:t>
      </w:r>
      <w:r>
        <w:rPr>
          <w:i/>
          <w:iCs/>
        </w:rPr>
        <w:t>C</w:t>
      </w:r>
      <w:r w:rsidRPr="00430A20">
        <w:rPr>
          <w:i/>
        </w:rPr>
        <w:t>urves</w:t>
      </w:r>
      <w:r>
        <w:rPr>
          <w:i/>
          <w:iCs/>
        </w:rPr>
        <w:t>,</w:t>
      </w:r>
      <w:r w:rsidRPr="00C21243">
        <w:t xml:space="preserve"> </w:t>
      </w:r>
      <w:r>
        <w:t xml:space="preserve">31(1) </w:t>
      </w:r>
      <w:r w:rsidRPr="00C21243">
        <w:rPr>
          <w:smallCaps/>
        </w:rPr>
        <w:t>Elec</w:t>
      </w:r>
      <w:r>
        <w:rPr>
          <w:smallCaps/>
        </w:rPr>
        <w:t>.</w:t>
      </w:r>
      <w:r w:rsidRPr="00C21243">
        <w:rPr>
          <w:smallCaps/>
        </w:rPr>
        <w:t xml:space="preserve"> J</w:t>
      </w:r>
      <w:r>
        <w:rPr>
          <w:smallCaps/>
        </w:rPr>
        <w:t>.</w:t>
      </w:r>
      <w:r w:rsidRPr="00C21243">
        <w:t xml:space="preserve"> </w:t>
      </w:r>
      <w:r>
        <w:t>65, 66</w:t>
      </w:r>
      <w:r w:rsidRPr="00C21243">
        <w:t xml:space="preserve"> (2018).</w:t>
      </w:r>
      <w:r w:rsidRPr="00C21243" w:rsidDel="00C21243">
        <w:rPr>
          <w:highlight w:val="yellow"/>
        </w:rPr>
        <w:t xml:space="preserve"> </w:t>
      </w:r>
    </w:p>
  </w:footnote>
  <w:footnote w:id="51">
    <w:p w14:paraId="7AE0E5DC" w14:textId="0CF8B72F" w:rsidR="002960DB" w:rsidRPr="00731542" w:rsidRDefault="002960DB" w:rsidP="00731542">
      <w:pPr>
        <w:pStyle w:val="FootnoteText"/>
        <w:spacing w:after="0"/>
        <w:ind w:firstLine="0"/>
        <w:rPr>
          <w:lang w:val="en-US"/>
        </w:rPr>
      </w:pPr>
      <w:r>
        <w:rPr>
          <w:rStyle w:val="FootnoteReference"/>
        </w:rPr>
        <w:footnoteRef/>
      </w:r>
      <w:r>
        <w:t xml:space="preserve"> </w:t>
      </w:r>
      <w:r w:rsidRPr="00710FAB">
        <w:t>Tex.</w:t>
      </w:r>
      <w:r>
        <w:t xml:space="preserve"> Util. Code Ann. § 39.159(b)(3). </w:t>
      </w:r>
    </w:p>
  </w:footnote>
  <w:footnote w:id="52">
    <w:p w14:paraId="1744991B" w14:textId="647676AD" w:rsidR="002960DB" w:rsidRPr="0067529C" w:rsidRDefault="002960DB" w:rsidP="007A0C70">
      <w:pPr>
        <w:pStyle w:val="FootnoteText"/>
        <w:ind w:firstLine="0"/>
      </w:pPr>
      <w:r>
        <w:rPr>
          <w:rStyle w:val="FootnoteReference"/>
        </w:rPr>
        <w:footnoteRef/>
      </w:r>
      <w:r>
        <w:t xml:space="preserve"> </w:t>
      </w:r>
      <w:r>
        <w:rPr>
          <w:i/>
          <w:iCs/>
        </w:rPr>
        <w:t xml:space="preserve">See </w:t>
      </w:r>
      <w:r w:rsidRPr="00085D20">
        <w:rPr>
          <w:smallCaps/>
        </w:rPr>
        <w:t>Sylwia Bialek et al.</w:t>
      </w:r>
      <w:r>
        <w:t xml:space="preserve">, </w:t>
      </w:r>
      <w:r w:rsidRPr="00085D20">
        <w:rPr>
          <w:i/>
        </w:rPr>
        <w:t>supra</w:t>
      </w:r>
      <w:r>
        <w:t xml:space="preserve"> note</w:t>
      </w:r>
      <w:r w:rsidR="00774B4F">
        <w:t xml:space="preserve"> </w:t>
      </w:r>
      <w:r w:rsidR="00774B4F">
        <w:fldChar w:fldCharType="begin"/>
      </w:r>
      <w:r w:rsidR="00774B4F">
        <w:instrText xml:space="preserve"> NOTEREF _Ref121983489 \h </w:instrText>
      </w:r>
      <w:r w:rsidR="00774B4F">
        <w:fldChar w:fldCharType="separate"/>
      </w:r>
      <w:r w:rsidR="001739C2">
        <w:t>2</w:t>
      </w:r>
      <w:r w:rsidR="00774B4F">
        <w:fldChar w:fldCharType="end"/>
      </w:r>
      <w:r>
        <w:t>, at 33 (“</w:t>
      </w:r>
      <w:r w:rsidR="007D4309">
        <w:t>[</w:t>
      </w:r>
      <w:r>
        <w:t>A] non-performance penalty should approximate the revenue loss that the resource would experience for failing to perform in an energy-only market.”).</w:t>
      </w:r>
    </w:p>
  </w:footnote>
  <w:footnote w:id="53">
    <w:p w14:paraId="3DB25F26" w14:textId="2A203AB6" w:rsidR="002960DB" w:rsidRPr="00A67E86" w:rsidRDefault="002960DB" w:rsidP="007A0C70">
      <w:pPr>
        <w:pStyle w:val="FootnoteText"/>
        <w:ind w:firstLine="0"/>
        <w:rPr>
          <w:lang w:val="en-US"/>
        </w:rPr>
      </w:pPr>
      <w:r w:rsidDel="00731AD4">
        <w:rPr>
          <w:rStyle w:val="FootnoteReference"/>
        </w:rPr>
        <w:footnoteRef/>
      </w:r>
      <w:r w:rsidDel="00731AD4">
        <w:t xml:space="preserve"> </w:t>
      </w:r>
      <w:r w:rsidDel="00731AD4">
        <w:rPr>
          <w:lang w:val="en-US"/>
        </w:rPr>
        <w:t>The administratively set price cap of $5,000, implemented in January 2022, is significantly less than the previous cap of $9,000</w:t>
      </w:r>
      <w:r>
        <w:rPr>
          <w:lang w:val="en-US"/>
        </w:rPr>
        <w:t>. These caps are referred to as the “value of lost load</w:t>
      </w:r>
      <w:r w:rsidDel="00731AD4">
        <w:rPr>
          <w:lang w:val="en-US"/>
        </w:rPr>
        <w:t>,</w:t>
      </w:r>
      <w:r>
        <w:rPr>
          <w:lang w:val="en-US"/>
        </w:rPr>
        <w:t>”</w:t>
      </w:r>
      <w:r w:rsidDel="00731AD4">
        <w:rPr>
          <w:lang w:val="en-US"/>
        </w:rPr>
        <w:t xml:space="preserve"> </w:t>
      </w:r>
      <w:r>
        <w:rPr>
          <w:lang w:val="en-US"/>
        </w:rPr>
        <w:t>which refers to</w:t>
      </w:r>
      <w:r w:rsidDel="00731AD4">
        <w:rPr>
          <w:lang w:val="en-US"/>
        </w:rPr>
        <w:t xml:space="preserve"> consumers’ “</w:t>
      </w:r>
      <w:r w:rsidRPr="00833526" w:rsidDel="00731AD4">
        <w:rPr>
          <w:lang w:val="en-US"/>
        </w:rPr>
        <w:t>willingness to pay for electricity service</w:t>
      </w:r>
      <w:r w:rsidDel="00731AD4">
        <w:rPr>
          <w:lang w:val="en-US"/>
        </w:rPr>
        <w:t xml:space="preserve"> (or </w:t>
      </w:r>
      <w:r>
        <w:rPr>
          <w:lang w:val="en-US"/>
        </w:rPr>
        <w:t xml:space="preserve">avoid </w:t>
      </w:r>
      <w:r w:rsidDel="00731AD4">
        <w:rPr>
          <w:lang w:val="en-US"/>
        </w:rPr>
        <w:t xml:space="preserve">curtailment).” </w:t>
      </w:r>
      <w:r w:rsidRPr="00801A89">
        <w:rPr>
          <w:smallCaps/>
          <w:lang w:val="en-US"/>
        </w:rPr>
        <w:t>London Economics, LLC,</w:t>
      </w:r>
      <w:r w:rsidRPr="00801A89" w:rsidDel="00731AD4">
        <w:rPr>
          <w:i/>
          <w:smallCaps/>
          <w:lang w:val="en-US"/>
        </w:rPr>
        <w:t xml:space="preserve"> </w:t>
      </w:r>
      <w:r w:rsidRPr="00801A89" w:rsidDel="00731AD4">
        <w:rPr>
          <w:smallCaps/>
          <w:lang w:val="en-US"/>
        </w:rPr>
        <w:t>Estimating the Value of Lost Load, ERCOT Briefing Paper</w:t>
      </w:r>
      <w:r>
        <w:rPr>
          <w:smallCaps/>
          <w:lang w:val="en-US"/>
        </w:rPr>
        <w:t xml:space="preserve"> 6 </w:t>
      </w:r>
      <w:r w:rsidRPr="00801A89">
        <w:rPr>
          <w:smallCaps/>
          <w:lang w:val="en-US"/>
        </w:rPr>
        <w:t>(2013)</w:t>
      </w:r>
      <w:r w:rsidRPr="00801A89" w:rsidDel="00731AD4">
        <w:rPr>
          <w:smallCaps/>
          <w:lang w:val="en-US"/>
        </w:rPr>
        <w:t>,</w:t>
      </w:r>
      <w:r w:rsidRPr="00801A89" w:rsidDel="00731AD4">
        <w:rPr>
          <w:lang w:val="en-US"/>
        </w:rPr>
        <w:t xml:space="preserve"> </w:t>
      </w:r>
      <w:hyperlink r:id="rId6" w:history="1">
        <w:r w:rsidRPr="00801A89" w:rsidDel="00731AD4">
          <w:rPr>
            <w:rStyle w:val="Hyperlink"/>
            <w:lang w:val="en-US"/>
          </w:rPr>
          <w:t>https://www.ercot.com/files/docs/2013/06/19/ercot_valueoflostload_literaturereviewandmacroeconomic.pdf</w:t>
        </w:r>
      </w:hyperlink>
      <w:r>
        <w:rPr>
          <w:rStyle w:val="Hyperlink"/>
          <w:lang w:val="en-US"/>
        </w:rPr>
        <w:t xml:space="preserve"> </w:t>
      </w:r>
      <w:r w:rsidRPr="00801A89">
        <w:rPr>
          <w:rStyle w:val="Hyperlink"/>
          <w:color w:val="000000" w:themeColor="text1"/>
          <w:u w:val="none"/>
          <w:lang w:val="en-US"/>
        </w:rPr>
        <w:t xml:space="preserve">(last visited Dec. 14, 2022). In practice, the administratively set value of lost load is likely to differ from its true value. Although determining the true value of lost load is notoriously difficult, estimates tend to be significantly higher than the administratively determined value, often ranging from $30,000 to $40,000. </w:t>
      </w:r>
      <w:r w:rsidRPr="00801A89">
        <w:rPr>
          <w:rStyle w:val="Hyperlink"/>
          <w:i/>
          <w:color w:val="000000" w:themeColor="text1"/>
          <w:u w:val="none"/>
          <w:lang w:val="en-US"/>
        </w:rPr>
        <w:t xml:space="preserve">Id. </w:t>
      </w:r>
      <w:r w:rsidRPr="00801A89">
        <w:rPr>
          <w:rStyle w:val="Hyperlink"/>
          <w:color w:val="000000" w:themeColor="text1"/>
          <w:u w:val="none"/>
          <w:lang w:val="en-US"/>
        </w:rPr>
        <w:t>at 53.</w:t>
      </w:r>
    </w:p>
  </w:footnote>
  <w:footnote w:id="54">
    <w:p w14:paraId="00B49E57" w14:textId="24CF0F71" w:rsidR="002960DB" w:rsidRPr="00AC5184" w:rsidRDefault="002960DB" w:rsidP="00FD14FE">
      <w:pPr>
        <w:pStyle w:val="NoSpacing"/>
        <w:ind w:left="0"/>
        <w:jc w:val="left"/>
        <w:rPr>
          <w:sz w:val="20"/>
          <w:szCs w:val="20"/>
          <w:lang w:val="en-US"/>
        </w:rPr>
      </w:pPr>
      <w:r w:rsidRPr="00AC5184">
        <w:rPr>
          <w:rStyle w:val="FootnoteReference"/>
          <w:sz w:val="20"/>
          <w:szCs w:val="20"/>
        </w:rPr>
        <w:footnoteRef/>
      </w:r>
      <w:r w:rsidRPr="00AC5184">
        <w:rPr>
          <w:sz w:val="20"/>
          <w:szCs w:val="20"/>
        </w:rPr>
        <w:t xml:space="preserve"> </w:t>
      </w:r>
      <w:r w:rsidRPr="002D4AB5">
        <w:rPr>
          <w:sz w:val="20"/>
          <w:szCs w:val="20"/>
        </w:rPr>
        <w:t xml:space="preserve">The E3 Report gives only a brief qualitative assessment of how penalties might be implemented for </w:t>
      </w:r>
      <w:r>
        <w:rPr>
          <w:sz w:val="20"/>
          <w:szCs w:val="20"/>
        </w:rPr>
        <w:t xml:space="preserve">the PCM. </w:t>
      </w:r>
      <w:r>
        <w:rPr>
          <w:i/>
          <w:iCs/>
          <w:sz w:val="20"/>
          <w:szCs w:val="20"/>
        </w:rPr>
        <w:t>See</w:t>
      </w:r>
      <w:r>
        <w:rPr>
          <w:i/>
          <w:sz w:val="20"/>
          <w:szCs w:val="20"/>
        </w:rPr>
        <w:t xml:space="preserve"> </w:t>
      </w:r>
      <w:r w:rsidRPr="00A36F9E">
        <w:rPr>
          <w:smallCaps/>
          <w:sz w:val="20"/>
          <w:szCs w:val="20"/>
        </w:rPr>
        <w:t>E3 Report</w:t>
      </w:r>
      <w:r>
        <w:rPr>
          <w:sz w:val="20"/>
          <w:szCs w:val="20"/>
        </w:rPr>
        <w:t xml:space="preserve">, </w:t>
      </w:r>
      <w:r w:rsidRPr="00A36F9E">
        <w:rPr>
          <w:i/>
          <w:sz w:val="20"/>
          <w:szCs w:val="20"/>
        </w:rPr>
        <w:t>supra</w:t>
      </w:r>
      <w:r>
        <w:rPr>
          <w:sz w:val="20"/>
          <w:szCs w:val="20"/>
        </w:rPr>
        <w:t xml:space="preserve"> note </w:t>
      </w:r>
      <w:r>
        <w:rPr>
          <w:sz w:val="20"/>
          <w:szCs w:val="20"/>
        </w:rPr>
        <w:fldChar w:fldCharType="begin"/>
      </w:r>
      <w:r>
        <w:rPr>
          <w:sz w:val="20"/>
          <w:szCs w:val="20"/>
        </w:rPr>
        <w:instrText xml:space="preserve"> NOTEREF _Ref121325512 \h </w:instrText>
      </w:r>
      <w:r>
        <w:rPr>
          <w:sz w:val="20"/>
          <w:szCs w:val="20"/>
        </w:rPr>
      </w:r>
      <w:r>
        <w:rPr>
          <w:sz w:val="20"/>
          <w:szCs w:val="20"/>
        </w:rPr>
        <w:fldChar w:fldCharType="separate"/>
      </w:r>
      <w:r w:rsidR="001739C2">
        <w:rPr>
          <w:sz w:val="20"/>
          <w:szCs w:val="20"/>
        </w:rPr>
        <w:t>5</w:t>
      </w:r>
      <w:r>
        <w:rPr>
          <w:sz w:val="20"/>
          <w:szCs w:val="20"/>
        </w:rPr>
        <w:fldChar w:fldCharType="end"/>
      </w:r>
      <w:r>
        <w:rPr>
          <w:sz w:val="20"/>
          <w:szCs w:val="20"/>
        </w:rPr>
        <w:t xml:space="preserve">, </w:t>
      </w:r>
      <w:r w:rsidRPr="00AC5184">
        <w:rPr>
          <w:sz w:val="20"/>
          <w:szCs w:val="20"/>
          <w:lang w:val="en-US"/>
        </w:rPr>
        <w:t xml:space="preserve">at </w:t>
      </w:r>
      <w:r>
        <w:rPr>
          <w:sz w:val="20"/>
          <w:szCs w:val="20"/>
          <w:lang w:val="en-US"/>
        </w:rPr>
        <w:t>84–</w:t>
      </w:r>
      <w:r w:rsidRPr="00AC5184">
        <w:rPr>
          <w:sz w:val="20"/>
          <w:szCs w:val="20"/>
          <w:lang w:val="en-US"/>
        </w:rPr>
        <w:t>85.</w:t>
      </w:r>
    </w:p>
  </w:footnote>
  <w:footnote w:id="55">
    <w:p w14:paraId="2C2B1EE3" w14:textId="77777777" w:rsidR="002960DB" w:rsidRPr="00AC5184" w:rsidRDefault="002960DB" w:rsidP="00FD14FE">
      <w:pPr>
        <w:pStyle w:val="NoSpacing"/>
        <w:ind w:left="0"/>
        <w:jc w:val="left"/>
        <w:rPr>
          <w:sz w:val="20"/>
          <w:szCs w:val="20"/>
          <w:lang w:val="en-US"/>
        </w:rPr>
      </w:pPr>
      <w:r w:rsidRPr="00AC5184">
        <w:rPr>
          <w:rStyle w:val="FootnoteReference"/>
          <w:sz w:val="20"/>
          <w:szCs w:val="20"/>
        </w:rPr>
        <w:footnoteRef/>
      </w:r>
      <w:r w:rsidRPr="00AC5184">
        <w:rPr>
          <w:sz w:val="20"/>
          <w:szCs w:val="20"/>
        </w:rPr>
        <w:t xml:space="preserve"> </w:t>
      </w:r>
      <w:r w:rsidRPr="009B726E">
        <w:rPr>
          <w:i/>
          <w:iCs/>
          <w:sz w:val="20"/>
          <w:szCs w:val="20"/>
        </w:rPr>
        <w:t>Id.</w:t>
      </w:r>
      <w:r w:rsidRPr="00AC5184">
        <w:rPr>
          <w:sz w:val="20"/>
          <w:szCs w:val="20"/>
          <w:lang w:val="en-US"/>
        </w:rPr>
        <w:t xml:space="preserve"> at 85.</w:t>
      </w:r>
    </w:p>
  </w:footnote>
  <w:footnote w:id="56">
    <w:p w14:paraId="0D4CB58C" w14:textId="5CC2A52E" w:rsidR="002960DB" w:rsidRPr="0099055B" w:rsidRDefault="002960DB" w:rsidP="00FD14FE">
      <w:pPr>
        <w:pStyle w:val="FootnoteText"/>
        <w:spacing w:after="0"/>
        <w:ind w:firstLine="0"/>
        <w:rPr>
          <w:lang w:val="en-US"/>
        </w:rPr>
      </w:pPr>
      <w:r>
        <w:rPr>
          <w:rStyle w:val="FootnoteReference"/>
        </w:rPr>
        <w:footnoteRef/>
      </w:r>
      <w:r>
        <w:t xml:space="preserve"> </w:t>
      </w:r>
      <w:r w:rsidRPr="009B726E">
        <w:rPr>
          <w:i/>
          <w:iCs/>
        </w:rPr>
        <w:t>Id.</w:t>
      </w:r>
      <w:r w:rsidRPr="00AC5184">
        <w:rPr>
          <w:lang w:val="en-US"/>
        </w:rPr>
        <w:t xml:space="preserve"> at </w:t>
      </w:r>
      <w:r>
        <w:rPr>
          <w:lang w:val="en-US"/>
        </w:rPr>
        <w:t>23</w:t>
      </w:r>
      <w:r w:rsidRPr="00AC5184">
        <w:rPr>
          <w:lang w:val="en-US"/>
        </w:rPr>
        <w:t>.</w:t>
      </w:r>
    </w:p>
  </w:footnote>
  <w:footnote w:id="57">
    <w:p w14:paraId="37AAC0A1" w14:textId="34BA2058" w:rsidR="002960DB" w:rsidRPr="00731542" w:rsidRDefault="002960DB" w:rsidP="009B56A1">
      <w:pPr>
        <w:pStyle w:val="FootnoteText"/>
        <w:ind w:firstLine="0"/>
        <w:rPr>
          <w:lang w:val="en-US"/>
        </w:rPr>
      </w:pPr>
      <w:r>
        <w:rPr>
          <w:rStyle w:val="FootnoteReference"/>
        </w:rPr>
        <w:footnoteRef/>
      </w:r>
      <w:r>
        <w:t xml:space="preserve"> </w:t>
      </w:r>
      <w:r>
        <w:rPr>
          <w:i/>
        </w:rPr>
        <w:t xml:space="preserve">See </w:t>
      </w:r>
      <w:r w:rsidRPr="001004F0">
        <w:t>Tex. Util. Code Ann. § 36.003</w:t>
      </w:r>
      <w:r>
        <w:t>(a).</w:t>
      </w:r>
    </w:p>
  </w:footnote>
  <w:footnote w:id="58">
    <w:p w14:paraId="19E32FF1" w14:textId="5090EDF9" w:rsidR="002960DB" w:rsidRDefault="002960DB" w:rsidP="00FD14FE">
      <w:pPr>
        <w:pStyle w:val="FootnoteText"/>
        <w:spacing w:after="0"/>
        <w:ind w:firstLine="0"/>
        <w:rPr>
          <w:lang w:val="en-US"/>
        </w:rPr>
      </w:pPr>
      <w:r>
        <w:rPr>
          <w:rStyle w:val="FootnoteReference"/>
        </w:rPr>
        <w:footnoteRef/>
      </w:r>
      <w:r>
        <w:t xml:space="preserve"> </w:t>
      </w:r>
      <w:r w:rsidRPr="00731542">
        <w:rPr>
          <w:smallCaps/>
        </w:rPr>
        <w:t>Pindyck &amp; Rubinfeld</w:t>
      </w:r>
      <w:r>
        <w:t xml:space="preserve">, </w:t>
      </w:r>
      <w:r w:rsidRPr="00731542">
        <w:rPr>
          <w:i/>
        </w:rPr>
        <w:t>supra</w:t>
      </w:r>
      <w:r>
        <w:t xml:space="preserve"> note </w:t>
      </w:r>
      <w:r>
        <w:fldChar w:fldCharType="begin"/>
      </w:r>
      <w:r>
        <w:instrText xml:space="preserve"> NOTEREF _Ref121828359 \h </w:instrText>
      </w:r>
      <w:r>
        <w:fldChar w:fldCharType="separate"/>
      </w:r>
      <w:r w:rsidR="001739C2">
        <w:t>10</w:t>
      </w:r>
      <w:r>
        <w:fldChar w:fldCharType="end"/>
      </w:r>
      <w:r>
        <w:t xml:space="preserve">, </w:t>
      </w:r>
      <w:r w:rsidRPr="0046208A">
        <w:t>at</w:t>
      </w:r>
      <w:r w:rsidRPr="0046208A">
        <w:rPr>
          <w:smallCaps/>
        </w:rPr>
        <w:t xml:space="preserve"> 165</w:t>
      </w:r>
      <w:r w:rsidRPr="0046208A">
        <w:t xml:space="preserve">. It is commonly assumed that </w:t>
      </w:r>
      <w:r>
        <w:t xml:space="preserve">large </w:t>
      </w:r>
      <w:r w:rsidRPr="0046208A">
        <w:t xml:space="preserve">investors are risk neutral. However, </w:t>
      </w:r>
      <w:r>
        <w:t xml:space="preserve">in ERCOT there are also </w:t>
      </w:r>
      <w:r w:rsidRPr="0046208A">
        <w:t>smaller investors whose risk attitude may be different than those of large market participants.</w:t>
      </w:r>
    </w:p>
  </w:footnote>
  <w:footnote w:id="59">
    <w:p w14:paraId="3BB2EBF8" w14:textId="77777777" w:rsidR="002960DB" w:rsidRDefault="002960DB" w:rsidP="00FD14FE">
      <w:pPr>
        <w:pStyle w:val="FootnoteText"/>
        <w:spacing w:after="0"/>
        <w:ind w:firstLine="0"/>
        <w:rPr>
          <w:lang w:val="en-US"/>
        </w:rPr>
      </w:pPr>
      <w:r>
        <w:rPr>
          <w:rStyle w:val="FootnoteReference"/>
        </w:rPr>
        <w:footnoteRef/>
      </w:r>
      <w:r>
        <w:t xml:space="preserve"> </w:t>
      </w:r>
      <w:r>
        <w:rPr>
          <w:i/>
        </w:rPr>
        <w:t xml:space="preserve">Id. </w:t>
      </w:r>
    </w:p>
  </w:footnote>
  <w:footnote w:id="60">
    <w:p w14:paraId="5A136481" w14:textId="77777777" w:rsidR="002960DB" w:rsidRPr="00796D24" w:rsidRDefault="002960DB" w:rsidP="00FD14FE">
      <w:pPr>
        <w:pStyle w:val="FootnoteText"/>
        <w:ind w:firstLine="0"/>
        <w:rPr>
          <w:lang w:val="en-US"/>
        </w:rPr>
      </w:pPr>
      <w:r>
        <w:rPr>
          <w:rStyle w:val="FootnoteReference"/>
        </w:rPr>
        <w:footnoteRef/>
      </w:r>
      <w:r>
        <w:t xml:space="preserve"> </w:t>
      </w:r>
      <w:r>
        <w:rPr>
          <w:i/>
          <w:iCs/>
        </w:rPr>
        <w:t>See, e.g.</w:t>
      </w:r>
      <w:r w:rsidRPr="00801A89">
        <w:t>,</w:t>
      </w:r>
      <w:r>
        <w:rPr>
          <w:i/>
          <w:iCs/>
        </w:rPr>
        <w:t xml:space="preserve"> </w:t>
      </w:r>
      <w:r>
        <w:t xml:space="preserve">Lawrence M. Ausubel &amp; Peter Cramton, </w:t>
      </w:r>
      <w:r>
        <w:rPr>
          <w:i/>
          <w:iCs/>
        </w:rPr>
        <w:t xml:space="preserve">Using Forward Markets to Improve Electricity Market Design, </w:t>
      </w:r>
      <w:r>
        <w:t xml:space="preserve">18 </w:t>
      </w:r>
      <w:r w:rsidRPr="00796D24">
        <w:rPr>
          <w:smallCaps/>
        </w:rPr>
        <w:t>Utils</w:t>
      </w:r>
      <w:r>
        <w:rPr>
          <w:smallCaps/>
        </w:rPr>
        <w:t>.</w:t>
      </w:r>
      <w:r w:rsidRPr="00796D24">
        <w:rPr>
          <w:smallCaps/>
        </w:rPr>
        <w:t xml:space="preserve"> Pol</w:t>
      </w:r>
      <w:r>
        <w:rPr>
          <w:smallCaps/>
        </w:rPr>
        <w:t>’</w:t>
      </w:r>
      <w:r w:rsidRPr="00796D24">
        <w:rPr>
          <w:smallCaps/>
        </w:rPr>
        <w:t>y</w:t>
      </w:r>
      <w:r>
        <w:t xml:space="preserve"> 195, 196 (2010).</w:t>
      </w:r>
    </w:p>
  </w:footnote>
  <w:footnote w:id="61">
    <w:p w14:paraId="5FF4C37F" w14:textId="037B7ED6" w:rsidR="002960DB" w:rsidRPr="000F0FD2" w:rsidRDefault="002960DB" w:rsidP="00215BD3">
      <w:pPr>
        <w:pStyle w:val="FootnoteText"/>
        <w:ind w:firstLine="0"/>
        <w:rPr>
          <w:lang w:val="en-US"/>
        </w:rPr>
      </w:pPr>
      <w:r>
        <w:rPr>
          <w:rStyle w:val="FootnoteReference"/>
        </w:rPr>
        <w:footnoteRef/>
      </w:r>
      <w:r>
        <w:t xml:space="preserve"> </w:t>
      </w:r>
      <w:r w:rsidRPr="00731542">
        <w:rPr>
          <w:smallCaps/>
          <w:lang w:val="en-US"/>
        </w:rPr>
        <w:t>E3 Report</w:t>
      </w:r>
      <w:r>
        <w:rPr>
          <w:lang w:val="en-US"/>
        </w:rPr>
        <w:t xml:space="preserve">, </w:t>
      </w:r>
      <w:r w:rsidRPr="00731542">
        <w:rPr>
          <w:i/>
          <w:lang w:val="en-US"/>
        </w:rPr>
        <w:t>supra</w:t>
      </w:r>
      <w:r>
        <w:rPr>
          <w:lang w:val="en-US"/>
        </w:rPr>
        <w:t xml:space="preserve"> note </w:t>
      </w:r>
      <w:r>
        <w:rPr>
          <w:lang w:val="en-US"/>
        </w:rPr>
        <w:fldChar w:fldCharType="begin"/>
      </w:r>
      <w:r>
        <w:rPr>
          <w:lang w:val="en-US"/>
        </w:rPr>
        <w:instrText xml:space="preserve"> NOTEREF _Ref121325512 \h </w:instrText>
      </w:r>
      <w:r>
        <w:rPr>
          <w:lang w:val="en-US"/>
        </w:rPr>
      </w:r>
      <w:r>
        <w:rPr>
          <w:lang w:val="en-US"/>
        </w:rPr>
        <w:fldChar w:fldCharType="separate"/>
      </w:r>
      <w:r w:rsidR="001739C2">
        <w:rPr>
          <w:lang w:val="en-US"/>
        </w:rPr>
        <w:t>5</w:t>
      </w:r>
      <w:r>
        <w:rPr>
          <w:lang w:val="en-US"/>
        </w:rPr>
        <w:fldChar w:fldCharType="end"/>
      </w:r>
      <w:r>
        <w:rPr>
          <w:lang w:val="en-US"/>
        </w:rPr>
        <w:t>,</w:t>
      </w:r>
      <w:r w:rsidRPr="00175542">
        <w:rPr>
          <w:lang w:val="en-US"/>
        </w:rPr>
        <w:t xml:space="preserve"> a</w:t>
      </w:r>
      <w:r w:rsidRPr="00CA48C9">
        <w:rPr>
          <w:lang w:val="en-US"/>
        </w:rPr>
        <w:t>t</w:t>
      </w:r>
      <w:r>
        <w:rPr>
          <w:lang w:val="en-US"/>
        </w:rPr>
        <w:t xml:space="preserve"> 22.</w:t>
      </w:r>
    </w:p>
  </w:footnote>
  <w:footnote w:id="62">
    <w:p w14:paraId="271A6C62" w14:textId="54022574" w:rsidR="002960DB" w:rsidRPr="00731542" w:rsidRDefault="002960DB" w:rsidP="004B135E">
      <w:pPr>
        <w:pStyle w:val="FootnoteText"/>
        <w:ind w:firstLine="0"/>
        <w:rPr>
          <w:i/>
          <w:lang w:val="en-US"/>
        </w:rPr>
      </w:pPr>
      <w:r>
        <w:rPr>
          <w:rStyle w:val="FootnoteReference"/>
        </w:rPr>
        <w:footnoteRef/>
      </w:r>
      <w:r>
        <w:t xml:space="preserve"> </w:t>
      </w:r>
      <w:r>
        <w:rPr>
          <w:i/>
          <w:iCs/>
        </w:rPr>
        <w:t xml:space="preserve">Id. </w:t>
      </w:r>
      <w:r>
        <w:t xml:space="preserve">at 19. </w:t>
      </w:r>
    </w:p>
  </w:footnote>
  <w:footnote w:id="63">
    <w:p w14:paraId="0A2F83FF" w14:textId="14E75FB0" w:rsidR="002960DB" w:rsidRPr="004D7FD4" w:rsidRDefault="002960DB" w:rsidP="00FD14FE">
      <w:pPr>
        <w:pStyle w:val="FootnoteText"/>
        <w:ind w:firstLine="0"/>
        <w:rPr>
          <w:lang w:val="en-US"/>
        </w:rPr>
      </w:pPr>
      <w:r>
        <w:rPr>
          <w:rStyle w:val="FootnoteReference"/>
        </w:rPr>
        <w:footnoteRef/>
      </w:r>
      <w:r>
        <w:t xml:space="preserve"> </w:t>
      </w:r>
      <w:r w:rsidRPr="004B135E">
        <w:rPr>
          <w:i/>
          <w:iCs/>
        </w:rPr>
        <w:t>Id.</w:t>
      </w:r>
      <w:r w:rsidRPr="00AC5184">
        <w:rPr>
          <w:lang w:val="en-US"/>
        </w:rPr>
        <w:t xml:space="preserve"> </w:t>
      </w:r>
      <w:r>
        <w:rPr>
          <w:lang w:val="en-US"/>
        </w:rPr>
        <w:t>at 58–59</w:t>
      </w:r>
      <w:r w:rsidRPr="00AC5184">
        <w:rPr>
          <w:lang w:val="en-US"/>
        </w:rPr>
        <w:t>.</w:t>
      </w:r>
    </w:p>
  </w:footnote>
  <w:footnote w:id="64">
    <w:p w14:paraId="2D76F442" w14:textId="0B7BAE2F" w:rsidR="002960DB" w:rsidRPr="004B135E" w:rsidRDefault="002960DB" w:rsidP="00FD14FE">
      <w:pPr>
        <w:pStyle w:val="FootnoteText"/>
        <w:ind w:firstLine="0"/>
        <w:rPr>
          <w:lang w:val="en-US"/>
        </w:rPr>
      </w:pPr>
      <w:r>
        <w:rPr>
          <w:rStyle w:val="FootnoteReference"/>
        </w:rPr>
        <w:footnoteRef/>
      </w:r>
      <w:r>
        <w:t xml:space="preserve"> </w:t>
      </w:r>
      <w:r>
        <w:rPr>
          <w:i/>
          <w:iCs/>
          <w:lang w:val="en-US"/>
        </w:rPr>
        <w:t xml:space="preserve">Id. </w:t>
      </w:r>
      <w:r>
        <w:rPr>
          <w:lang w:val="en-US"/>
        </w:rPr>
        <w:t>at 58.</w:t>
      </w:r>
    </w:p>
  </w:footnote>
  <w:footnote w:id="65">
    <w:p w14:paraId="593A425B" w14:textId="3A26C8F1" w:rsidR="002960DB" w:rsidRPr="00816272" w:rsidRDefault="002960DB" w:rsidP="00FD14FE">
      <w:pPr>
        <w:pStyle w:val="FootnoteText"/>
        <w:ind w:firstLine="0"/>
      </w:pPr>
      <w:r>
        <w:rPr>
          <w:rStyle w:val="FootnoteReference"/>
        </w:rPr>
        <w:footnoteRef/>
      </w:r>
      <w:r>
        <w:t xml:space="preserve"> </w:t>
      </w:r>
      <w:r>
        <w:rPr>
          <w:lang w:val="en-US"/>
        </w:rPr>
        <w:t xml:space="preserve">The E3 Report compares system cost variability under the analyzed market designs. </w:t>
      </w:r>
      <w:r w:rsidRPr="00EC35A0">
        <w:rPr>
          <w:i/>
          <w:iCs/>
        </w:rPr>
        <w:t>Id</w:t>
      </w:r>
      <w:r>
        <w:rPr>
          <w:i/>
          <w:iCs/>
        </w:rPr>
        <w:t>.</w:t>
      </w:r>
      <w:r>
        <w:t xml:space="preserve"> at 49 fig. 25.</w:t>
      </w:r>
      <w:r>
        <w:rPr>
          <w:lang w:val="en-US"/>
        </w:rPr>
        <w:t xml:space="preserve"> E3 notes that “[v]oluntary hedging by LSEs can mitigate exposure to volatility.” </w:t>
      </w:r>
      <w:r>
        <w:rPr>
          <w:i/>
          <w:iCs/>
          <w:lang w:val="en-US"/>
        </w:rPr>
        <w:t xml:space="preserve">Id. </w:t>
      </w:r>
      <w:r>
        <w:rPr>
          <w:lang w:val="en-US"/>
        </w:rPr>
        <w:t xml:space="preserve">at 63 n.1. Without further clarification of the market designs (and the PCM design in particular) it is unclear the extent to which hedging will mitigate risk. </w:t>
      </w:r>
    </w:p>
  </w:footnote>
  <w:footnote w:id="66">
    <w:p w14:paraId="287C496E" w14:textId="7D71EBAE" w:rsidR="002960DB" w:rsidRPr="00221869" w:rsidRDefault="002960DB" w:rsidP="00FD3E04">
      <w:pPr>
        <w:pStyle w:val="FootnoteText"/>
        <w:ind w:firstLine="0"/>
        <w:rPr>
          <w:lang w:val="en-US"/>
        </w:rPr>
      </w:pPr>
      <w:r>
        <w:rPr>
          <w:rStyle w:val="FootnoteReference"/>
        </w:rPr>
        <w:footnoteRef/>
      </w:r>
      <w:r>
        <w:t xml:space="preserve"> </w:t>
      </w:r>
      <w:r w:rsidRPr="00FD3E04">
        <w:rPr>
          <w:i/>
        </w:rPr>
        <w:t>See, e.g.</w:t>
      </w:r>
      <w:r w:rsidRPr="00750108">
        <w:t xml:space="preserve">, Severin Borenstein et al., </w:t>
      </w:r>
      <w:r w:rsidRPr="00FD3E04">
        <w:rPr>
          <w:i/>
        </w:rPr>
        <w:t>Market Power in Electricity Markets: Beyond Concentration Measures</w:t>
      </w:r>
      <w:r w:rsidRPr="00750108">
        <w:t xml:space="preserve">, 20(4) </w:t>
      </w:r>
      <w:r w:rsidRPr="00FD3E04">
        <w:rPr>
          <w:smallCaps/>
        </w:rPr>
        <w:t>Energy</w:t>
      </w:r>
      <w:r w:rsidRPr="00750108">
        <w:t xml:space="preserve"> J. 65 (1999). </w:t>
      </w:r>
    </w:p>
  </w:footnote>
  <w:footnote w:id="67">
    <w:p w14:paraId="208753BD" w14:textId="2552C25B" w:rsidR="002960DB" w:rsidRPr="00731542" w:rsidRDefault="002960DB" w:rsidP="001116D4">
      <w:pPr>
        <w:pStyle w:val="FootnoteText"/>
        <w:ind w:firstLine="0"/>
        <w:rPr>
          <w:lang w:val="en-US"/>
        </w:rPr>
      </w:pPr>
      <w:r>
        <w:rPr>
          <w:rStyle w:val="FootnoteReference"/>
        </w:rPr>
        <w:footnoteRef/>
      </w:r>
      <w:r>
        <w:t xml:space="preserve"> </w:t>
      </w:r>
      <w:r w:rsidRPr="001116D4">
        <w:t>Tex.</w:t>
      </w:r>
      <w:r>
        <w:t xml:space="preserve"> Util. Code Ann. § 36.003(a).</w:t>
      </w:r>
    </w:p>
  </w:footnote>
  <w:footnote w:id="68">
    <w:p w14:paraId="78B64525" w14:textId="3E4F8C01" w:rsidR="002960DB" w:rsidRPr="00731542" w:rsidRDefault="002960DB" w:rsidP="00FA631E">
      <w:pPr>
        <w:pStyle w:val="FootnoteText"/>
        <w:ind w:firstLine="0"/>
        <w:rPr>
          <w:lang w:val="en-US"/>
        </w:rPr>
      </w:pPr>
      <w:r>
        <w:rPr>
          <w:rStyle w:val="FootnoteReference"/>
        </w:rPr>
        <w:footnoteRef/>
      </w:r>
      <w:r>
        <w:t xml:space="preserve"> </w:t>
      </w:r>
      <w:r>
        <w:rPr>
          <w:i/>
        </w:rPr>
        <w:t xml:space="preserve">Id. </w:t>
      </w:r>
      <w:r>
        <w:t xml:space="preserve">§ 39.159(b)(3). </w:t>
      </w:r>
    </w:p>
  </w:footnote>
  <w:footnote w:id="69">
    <w:p w14:paraId="3F2646B4" w14:textId="395C3292" w:rsidR="002960DB" w:rsidRPr="00A727D7" w:rsidRDefault="002960DB" w:rsidP="00C667A8">
      <w:pPr>
        <w:pStyle w:val="FootnoteText"/>
        <w:ind w:firstLine="0"/>
      </w:pPr>
      <w:r>
        <w:rPr>
          <w:rStyle w:val="FootnoteReference"/>
        </w:rPr>
        <w:footnoteRef/>
      </w:r>
      <w:r>
        <w:t xml:space="preserve"> </w:t>
      </w:r>
      <w:r w:rsidRPr="00A05BC5">
        <w:t>Blaise</w:t>
      </w:r>
      <w:r>
        <w:t xml:space="preserve"> </w:t>
      </w:r>
      <w:r w:rsidRPr="00A05BC5">
        <w:t>Allaz</w:t>
      </w:r>
      <w:r>
        <w:t xml:space="preserve"> &amp; </w:t>
      </w:r>
      <w:r w:rsidRPr="00A05BC5">
        <w:t>Jean-Luc</w:t>
      </w:r>
      <w:r>
        <w:t xml:space="preserve"> </w:t>
      </w:r>
      <w:r w:rsidRPr="00A05BC5">
        <w:t>Vila</w:t>
      </w:r>
      <w:r>
        <w:t xml:space="preserve">, </w:t>
      </w:r>
      <w:r w:rsidRPr="00FD3E04">
        <w:rPr>
          <w:i/>
        </w:rPr>
        <w:t>Cournot Competition, Forward Markets and Efficiency</w:t>
      </w:r>
      <w:r>
        <w:t xml:space="preserve">, 59(1) </w:t>
      </w:r>
      <w:r w:rsidRPr="00FD3E04">
        <w:rPr>
          <w:smallCaps/>
        </w:rPr>
        <w:t>J. Econ. Theory</w:t>
      </w:r>
      <w:r>
        <w:t xml:space="preserve"> 1, 2 (1993). A</w:t>
      </w:r>
      <w:r w:rsidRPr="0083569F">
        <w:t>n expected profit-maximizing supplier with the ability to exercise unilateral market power with a fixed-price forward contract obligation has an incentive to minimize the cost of supplying the quantity of energy sold in the forward contract.</w:t>
      </w:r>
      <w:r>
        <w:t xml:space="preserve"> </w:t>
      </w:r>
      <w:r w:rsidRPr="00006DD0">
        <w:t>Frank A. Wolak</w:t>
      </w:r>
      <w:r>
        <w:t xml:space="preserve">, </w:t>
      </w:r>
      <w:r w:rsidRPr="00FD3E04">
        <w:rPr>
          <w:i/>
        </w:rPr>
        <w:t>Long-Term Resource Adequacy in Wholesale Electricity Markets with Significant Intermittent Renewables</w:t>
      </w:r>
      <w:r>
        <w:t xml:space="preserve">, 3 </w:t>
      </w:r>
      <w:r w:rsidRPr="00FD3E04">
        <w:rPr>
          <w:smallCaps/>
        </w:rPr>
        <w:t xml:space="preserve">Envt’l &amp; Energy Pol’y &amp; Econ. </w:t>
      </w:r>
      <w:r>
        <w:t xml:space="preserve">155, 198 (2022). Consider a supplier owning 150 MW of generation capacity that has sold 100 MWh in a fixed-forward contract at a price of $25/MWh for a certain hour of the day. </w:t>
      </w:r>
      <w:r>
        <w:rPr>
          <w:i/>
          <w:iCs/>
        </w:rPr>
        <w:t>Id</w:t>
      </w:r>
      <w:r>
        <w:t xml:space="preserve">. This supplier has two options for fulfilling this forward contract: (1) produce the 100 MWh energy from its own units at their marginal cost of $20/MWh or (2) buy this energy from the short-term market at the prevailing market-clearing price. </w:t>
      </w:r>
      <w:r>
        <w:rPr>
          <w:i/>
        </w:rPr>
        <w:t xml:space="preserve">Id. </w:t>
      </w:r>
      <w:r>
        <w:t xml:space="preserve">The supplier will receive $2,500 from the buyer of the contract for the 100 MWh sold, regardless of how it is supplied. </w:t>
      </w:r>
      <w:r>
        <w:rPr>
          <w:i/>
          <w:iCs/>
        </w:rPr>
        <w:t xml:space="preserve">Id. </w:t>
      </w:r>
      <w:r>
        <w:t xml:space="preserve">This means that the supplier maximizes the profits it earns from this fixed-price forward contract sale by minimizing the cost of supplying the 100 MWh of energy. </w:t>
      </w:r>
      <w:r>
        <w:rPr>
          <w:i/>
          <w:iCs/>
        </w:rPr>
        <w:t xml:space="preserve">Id. </w:t>
      </w:r>
    </w:p>
  </w:footnote>
  <w:footnote w:id="70">
    <w:p w14:paraId="12680055" w14:textId="0884812D" w:rsidR="002960DB" w:rsidRPr="005C5308" w:rsidRDefault="002960DB" w:rsidP="00FD14FE">
      <w:pPr>
        <w:pStyle w:val="FootnoteText"/>
        <w:spacing w:after="0"/>
        <w:ind w:firstLine="0"/>
        <w:rPr>
          <w:lang w:val="en-US"/>
        </w:rPr>
      </w:pPr>
      <w:r>
        <w:rPr>
          <w:rStyle w:val="FootnoteReference"/>
        </w:rPr>
        <w:footnoteRef/>
      </w:r>
      <w:r>
        <w:t xml:space="preserve"> </w:t>
      </w:r>
      <w:r w:rsidRPr="00731542">
        <w:rPr>
          <w:smallCaps/>
        </w:rPr>
        <w:t>E3 Report</w:t>
      </w:r>
      <w:r w:rsidRPr="00550511">
        <w:t xml:space="preserve">, </w:t>
      </w:r>
      <w:r w:rsidRPr="00731542">
        <w:rPr>
          <w:i/>
          <w:lang w:val="en-US"/>
        </w:rPr>
        <w:t>supra</w:t>
      </w:r>
      <w:r>
        <w:rPr>
          <w:lang w:val="en-US"/>
        </w:rPr>
        <w:t xml:space="preserve"> note </w:t>
      </w:r>
      <w:r>
        <w:rPr>
          <w:lang w:val="en-US"/>
        </w:rPr>
        <w:fldChar w:fldCharType="begin"/>
      </w:r>
      <w:r>
        <w:rPr>
          <w:lang w:val="en-US"/>
        </w:rPr>
        <w:instrText xml:space="preserve"> NOTEREF _Ref121325512 \h </w:instrText>
      </w:r>
      <w:r>
        <w:rPr>
          <w:lang w:val="en-US"/>
        </w:rPr>
      </w:r>
      <w:r>
        <w:rPr>
          <w:lang w:val="en-US"/>
        </w:rPr>
        <w:fldChar w:fldCharType="separate"/>
      </w:r>
      <w:r w:rsidR="001739C2">
        <w:rPr>
          <w:lang w:val="en-US"/>
        </w:rPr>
        <w:t>5</w:t>
      </w:r>
      <w:r>
        <w:rPr>
          <w:lang w:val="en-US"/>
        </w:rPr>
        <w:fldChar w:fldCharType="end"/>
      </w:r>
      <w:r w:rsidRPr="00550511">
        <w:t>,</w:t>
      </w:r>
      <w:r w:rsidRPr="00AC5184">
        <w:rPr>
          <w:lang w:val="en-US"/>
        </w:rPr>
        <w:t xml:space="preserve"> at </w:t>
      </w:r>
      <w:r>
        <w:rPr>
          <w:lang w:val="en-US"/>
        </w:rPr>
        <w:t>77–78</w:t>
      </w:r>
      <w:r w:rsidRPr="00AC5184">
        <w:rPr>
          <w:lang w:val="en-US"/>
        </w:rPr>
        <w:t>.</w:t>
      </w:r>
    </w:p>
  </w:footnote>
  <w:footnote w:id="71">
    <w:p w14:paraId="16DE54D9" w14:textId="4FD915EF" w:rsidR="002960DB" w:rsidRPr="002028A3" w:rsidRDefault="002960DB" w:rsidP="002028A3">
      <w:pPr>
        <w:pStyle w:val="FootnoteText"/>
        <w:ind w:firstLine="0"/>
        <w:rPr>
          <w:lang w:val="en-US"/>
        </w:rPr>
      </w:pPr>
      <w:r>
        <w:rPr>
          <w:rStyle w:val="FootnoteReference"/>
        </w:rPr>
        <w:footnoteRef/>
      </w:r>
      <w:r>
        <w:t xml:space="preserve"> The PCM requires generators to participate in the forward market to be eligible to receive performance credits, but it remains unclear whether generators will be incentivized to make economically meaningful offers in the forward market to maintain their eligibility. </w:t>
      </w:r>
      <w:r>
        <w:rPr>
          <w:i/>
          <w:iCs/>
        </w:rPr>
        <w:t xml:space="preserve">See </w:t>
      </w:r>
      <w:r w:rsidRPr="00801A89">
        <w:rPr>
          <w:i/>
        </w:rPr>
        <w:t>id.</w:t>
      </w:r>
      <w:r w:rsidRPr="00AC5184">
        <w:rPr>
          <w:lang w:val="en-US"/>
        </w:rPr>
        <w:t xml:space="preserve"> </w:t>
      </w:r>
      <w:r>
        <w:rPr>
          <w:lang w:val="en-US"/>
        </w:rPr>
        <w:t>at 22 (“</w:t>
      </w:r>
      <w:r w:rsidRPr="008D5B79">
        <w:t>While the forward market is voluntary, participation in the forward market is a prerequisite for generators to be eligible to produce PCs; however, actual quantities of PCs produced may differ from forward offers – thus it is not expected that this mandatory forward offer requirement would have any impact on the ultimate quantity of PCs that are awarded or on the settlement price</w:t>
      </w:r>
      <w:r>
        <w:t>.”).</w:t>
      </w:r>
    </w:p>
  </w:footnote>
  <w:footnote w:id="72">
    <w:p w14:paraId="0CEAB42D" w14:textId="572A9D1C" w:rsidR="002960DB" w:rsidRPr="00A826A3" w:rsidRDefault="002960DB" w:rsidP="00FD14FE">
      <w:pPr>
        <w:pStyle w:val="FootnoteText"/>
        <w:ind w:firstLine="0"/>
      </w:pPr>
      <w:r>
        <w:rPr>
          <w:rStyle w:val="FootnoteReference"/>
        </w:rPr>
        <w:footnoteRef/>
      </w:r>
      <w:r>
        <w:t xml:space="preserve"> </w:t>
      </w:r>
      <w:r w:rsidRPr="005D3864">
        <w:rPr>
          <w:i/>
        </w:rPr>
        <w:t>See</w:t>
      </w:r>
      <w:r w:rsidRPr="005D3864" w:rsidDel="006C5BF8">
        <w:t xml:space="preserve"> </w:t>
      </w:r>
      <w:r w:rsidRPr="005D3864">
        <w:rPr>
          <w:smallCaps/>
        </w:rPr>
        <w:t>James Bushnell et al.,</w:t>
      </w:r>
      <w:r>
        <w:t xml:space="preserve"> </w:t>
      </w:r>
      <w:r w:rsidRPr="005D3864">
        <w:rPr>
          <w:smallCaps/>
        </w:rPr>
        <w:t>Capacity Markets at a Crossroad</w:t>
      </w:r>
      <w:r>
        <w:t xml:space="preserve"> 15, 15 (2017), </w:t>
      </w:r>
      <w:hyperlink r:id="rId7" w:history="1">
        <w:r w:rsidRPr="00C37F19">
          <w:rPr>
            <w:rStyle w:val="Hyperlink"/>
          </w:rPr>
          <w:t>https://www.haas.berkeley.edu/wp-content/uploads/WP278Updated.pdf</w:t>
        </w:r>
      </w:hyperlink>
      <w:r>
        <w:t xml:space="preserve"> (last visited Dec. 14, 2022); </w:t>
      </w:r>
      <w:r>
        <w:rPr>
          <w:i/>
          <w:iCs/>
        </w:rPr>
        <w:t xml:space="preserve">see </w:t>
      </w:r>
      <w:r w:rsidRPr="00DA1A1F">
        <w:rPr>
          <w:i/>
          <w:iCs/>
        </w:rPr>
        <w:t>generally</w:t>
      </w:r>
      <w:r>
        <w:t xml:space="preserve"> </w:t>
      </w:r>
      <w:r w:rsidRPr="005D3864">
        <w:rPr>
          <w:smallCaps/>
        </w:rPr>
        <w:t>Matt Woerman</w:t>
      </w:r>
      <w:r>
        <w:t xml:space="preserve">, </w:t>
      </w:r>
      <w:r w:rsidRPr="005D3864">
        <w:rPr>
          <w:smallCaps/>
        </w:rPr>
        <w:t>Market Size and Market Power: Evidence from the Texas Electricity Market</w:t>
      </w:r>
      <w:r>
        <w:t xml:space="preserve"> (2019), </w:t>
      </w:r>
      <w:hyperlink r:id="rId8" w:history="1">
        <w:r w:rsidRPr="00C37F19">
          <w:rPr>
            <w:rStyle w:val="Hyperlink"/>
          </w:rPr>
          <w:t>https://haas.berkeley.edu/wp-content/uploads/WP298.pdf</w:t>
        </w:r>
      </w:hyperlink>
      <w:r>
        <w:t xml:space="preserve"> (last visited Dec. 14,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26A8" w14:textId="79EDBF18" w:rsidR="002960DB" w:rsidRDefault="002960DB" w:rsidP="00660B89">
    <w:pPr>
      <w:pStyle w:val="Header"/>
      <w:tabs>
        <w:tab w:val="clear" w:pos="4680"/>
        <w:tab w:val="clear" w:pos="9360"/>
        <w:tab w:val="left" w:pos="3932"/>
      </w:tabs>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512"/>
    <w:multiLevelType w:val="hybridMultilevel"/>
    <w:tmpl w:val="D9D441D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13501097"/>
    <w:multiLevelType w:val="hybridMultilevel"/>
    <w:tmpl w:val="56045F06"/>
    <w:lvl w:ilvl="0" w:tplc="613E06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830010"/>
    <w:multiLevelType w:val="hybridMultilevel"/>
    <w:tmpl w:val="000E7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066D2"/>
    <w:multiLevelType w:val="hybridMultilevel"/>
    <w:tmpl w:val="DABAB0BC"/>
    <w:lvl w:ilvl="0" w:tplc="BECA06F4">
      <w:start w:val="1"/>
      <w:numFmt w:val="upperRoman"/>
      <w:pStyle w:val="Heading1"/>
      <w:lvlText w:val="%1."/>
      <w:lvlJc w:val="left"/>
      <w:pPr>
        <w:ind w:left="1440" w:hanging="72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7E4298"/>
    <w:multiLevelType w:val="hybridMultilevel"/>
    <w:tmpl w:val="23DE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8063C"/>
    <w:multiLevelType w:val="hybridMultilevel"/>
    <w:tmpl w:val="4C385E9C"/>
    <w:lvl w:ilvl="0" w:tplc="7B6E98F2">
      <w:start w:val="1"/>
      <w:numFmt w:val="decimal"/>
      <w:pStyle w:val="Heading3"/>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3CA07432"/>
    <w:multiLevelType w:val="hybridMultilevel"/>
    <w:tmpl w:val="AD1EE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65D3C"/>
    <w:multiLevelType w:val="hybridMultilevel"/>
    <w:tmpl w:val="3A2A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C5851"/>
    <w:multiLevelType w:val="hybridMultilevel"/>
    <w:tmpl w:val="FC18E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14A86"/>
    <w:multiLevelType w:val="hybridMultilevel"/>
    <w:tmpl w:val="77F0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15D94"/>
    <w:multiLevelType w:val="hybridMultilevel"/>
    <w:tmpl w:val="9474D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680F7E"/>
    <w:multiLevelType w:val="hybridMultilevel"/>
    <w:tmpl w:val="F3BE70EC"/>
    <w:lvl w:ilvl="0" w:tplc="7D2C7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963F3"/>
    <w:multiLevelType w:val="hybridMultilevel"/>
    <w:tmpl w:val="6950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3C013B"/>
    <w:multiLevelType w:val="hybridMultilevel"/>
    <w:tmpl w:val="A1B8AA7E"/>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25E7743"/>
    <w:multiLevelType w:val="hybridMultilevel"/>
    <w:tmpl w:val="6CD23896"/>
    <w:lvl w:ilvl="0" w:tplc="3DA446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965089E"/>
    <w:multiLevelType w:val="hybridMultilevel"/>
    <w:tmpl w:val="56F0B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157DB5"/>
    <w:multiLevelType w:val="hybridMultilevel"/>
    <w:tmpl w:val="AB16F744"/>
    <w:lvl w:ilvl="0" w:tplc="5964D5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E730F"/>
    <w:multiLevelType w:val="hybridMultilevel"/>
    <w:tmpl w:val="36DCEA9E"/>
    <w:lvl w:ilvl="0" w:tplc="9C42007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D654C4"/>
    <w:multiLevelType w:val="hybridMultilevel"/>
    <w:tmpl w:val="4B603350"/>
    <w:lvl w:ilvl="0" w:tplc="5DD87ED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A6711CC"/>
    <w:multiLevelType w:val="hybridMultilevel"/>
    <w:tmpl w:val="02028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524AC"/>
    <w:multiLevelType w:val="hybridMultilevel"/>
    <w:tmpl w:val="E144AA2C"/>
    <w:lvl w:ilvl="0" w:tplc="C96E02E4">
      <w:start w:val="1"/>
      <w:numFmt w:val="upperLetter"/>
      <w:pStyle w:val="Heading2"/>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DEE784B"/>
    <w:multiLevelType w:val="hybridMultilevel"/>
    <w:tmpl w:val="70EC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110CD6"/>
    <w:multiLevelType w:val="hybridMultilevel"/>
    <w:tmpl w:val="532AFC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82719193">
    <w:abstractNumId w:val="5"/>
  </w:num>
  <w:num w:numId="2" w16cid:durableId="1615094500">
    <w:abstractNumId w:val="3"/>
  </w:num>
  <w:num w:numId="3" w16cid:durableId="1044329020">
    <w:abstractNumId w:val="20"/>
  </w:num>
  <w:num w:numId="4" w16cid:durableId="969822441">
    <w:abstractNumId w:val="20"/>
    <w:lvlOverride w:ilvl="0">
      <w:startOverride w:val="1"/>
    </w:lvlOverride>
  </w:num>
  <w:num w:numId="5" w16cid:durableId="1843546198">
    <w:abstractNumId w:val="20"/>
    <w:lvlOverride w:ilvl="0">
      <w:startOverride w:val="1"/>
    </w:lvlOverride>
  </w:num>
  <w:num w:numId="6" w16cid:durableId="1919754442">
    <w:abstractNumId w:val="11"/>
  </w:num>
  <w:num w:numId="7" w16cid:durableId="1196769998">
    <w:abstractNumId w:val="8"/>
  </w:num>
  <w:num w:numId="8" w16cid:durableId="400561287">
    <w:abstractNumId w:val="6"/>
  </w:num>
  <w:num w:numId="9" w16cid:durableId="730662176">
    <w:abstractNumId w:val="19"/>
  </w:num>
  <w:num w:numId="10" w16cid:durableId="640506092">
    <w:abstractNumId w:val="7"/>
  </w:num>
  <w:num w:numId="11" w16cid:durableId="1996257280">
    <w:abstractNumId w:val="5"/>
    <w:lvlOverride w:ilvl="0">
      <w:startOverride w:val="1"/>
    </w:lvlOverride>
  </w:num>
  <w:num w:numId="12" w16cid:durableId="1496989444">
    <w:abstractNumId w:val="5"/>
    <w:lvlOverride w:ilvl="0">
      <w:startOverride w:val="1"/>
    </w:lvlOverride>
  </w:num>
  <w:num w:numId="13" w16cid:durableId="475999689">
    <w:abstractNumId w:val="20"/>
    <w:lvlOverride w:ilvl="0">
      <w:startOverride w:val="1"/>
    </w:lvlOverride>
  </w:num>
  <w:num w:numId="14" w16cid:durableId="1671174929">
    <w:abstractNumId w:val="12"/>
  </w:num>
  <w:num w:numId="15" w16cid:durableId="766727452">
    <w:abstractNumId w:val="5"/>
    <w:lvlOverride w:ilvl="0">
      <w:startOverride w:val="1"/>
    </w:lvlOverride>
  </w:num>
  <w:num w:numId="16" w16cid:durableId="808935067">
    <w:abstractNumId w:val="5"/>
    <w:lvlOverride w:ilvl="0">
      <w:startOverride w:val="1"/>
    </w:lvlOverride>
  </w:num>
  <w:num w:numId="17" w16cid:durableId="1261908985">
    <w:abstractNumId w:val="20"/>
    <w:lvlOverride w:ilvl="0">
      <w:startOverride w:val="1"/>
    </w:lvlOverride>
  </w:num>
  <w:num w:numId="18" w16cid:durableId="1594166129">
    <w:abstractNumId w:val="4"/>
  </w:num>
  <w:num w:numId="19" w16cid:durableId="1233391224">
    <w:abstractNumId w:val="20"/>
    <w:lvlOverride w:ilvl="0">
      <w:startOverride w:val="1"/>
    </w:lvlOverride>
  </w:num>
  <w:num w:numId="20" w16cid:durableId="601032665">
    <w:abstractNumId w:val="15"/>
  </w:num>
  <w:num w:numId="21" w16cid:durableId="960306285">
    <w:abstractNumId w:val="2"/>
  </w:num>
  <w:num w:numId="22" w16cid:durableId="606041876">
    <w:abstractNumId w:val="5"/>
    <w:lvlOverride w:ilvl="0">
      <w:startOverride w:val="1"/>
    </w:lvlOverride>
  </w:num>
  <w:num w:numId="23" w16cid:durableId="1813060935">
    <w:abstractNumId w:val="22"/>
  </w:num>
  <w:num w:numId="24" w16cid:durableId="623537263">
    <w:abstractNumId w:val="0"/>
  </w:num>
  <w:num w:numId="25" w16cid:durableId="17276769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33812">
    <w:abstractNumId w:val="5"/>
  </w:num>
  <w:num w:numId="27" w16cid:durableId="636182733">
    <w:abstractNumId w:val="5"/>
  </w:num>
  <w:num w:numId="28" w16cid:durableId="558590878">
    <w:abstractNumId w:val="21"/>
  </w:num>
  <w:num w:numId="29" w16cid:durableId="1924412743">
    <w:abstractNumId w:val="5"/>
    <w:lvlOverride w:ilvl="0">
      <w:startOverride w:val="1"/>
    </w:lvlOverride>
  </w:num>
  <w:num w:numId="30" w16cid:durableId="1382973293">
    <w:abstractNumId w:val="5"/>
  </w:num>
  <w:num w:numId="31" w16cid:durableId="1865242830">
    <w:abstractNumId w:val="5"/>
    <w:lvlOverride w:ilvl="0">
      <w:startOverride w:val="1"/>
    </w:lvlOverride>
  </w:num>
  <w:num w:numId="32" w16cid:durableId="1285190461">
    <w:abstractNumId w:val="5"/>
    <w:lvlOverride w:ilvl="0">
      <w:startOverride w:val="1"/>
    </w:lvlOverride>
  </w:num>
  <w:num w:numId="33" w16cid:durableId="1690794703">
    <w:abstractNumId w:val="5"/>
    <w:lvlOverride w:ilvl="0">
      <w:startOverride w:val="1"/>
    </w:lvlOverride>
  </w:num>
  <w:num w:numId="34" w16cid:durableId="61412235">
    <w:abstractNumId w:val="5"/>
    <w:lvlOverride w:ilvl="0">
      <w:startOverride w:val="1"/>
    </w:lvlOverride>
  </w:num>
  <w:num w:numId="35" w16cid:durableId="421492705">
    <w:abstractNumId w:val="5"/>
    <w:lvlOverride w:ilvl="0">
      <w:startOverride w:val="1"/>
    </w:lvlOverride>
  </w:num>
  <w:num w:numId="36" w16cid:durableId="227498200">
    <w:abstractNumId w:val="5"/>
    <w:lvlOverride w:ilvl="0">
      <w:startOverride w:val="1"/>
    </w:lvlOverride>
  </w:num>
  <w:num w:numId="37" w16cid:durableId="490801384">
    <w:abstractNumId w:val="5"/>
    <w:lvlOverride w:ilvl="0">
      <w:startOverride w:val="1"/>
    </w:lvlOverride>
  </w:num>
  <w:num w:numId="38" w16cid:durableId="1218740061">
    <w:abstractNumId w:val="5"/>
    <w:lvlOverride w:ilvl="0">
      <w:startOverride w:val="1"/>
    </w:lvlOverride>
  </w:num>
  <w:num w:numId="39" w16cid:durableId="2130585882">
    <w:abstractNumId w:val="9"/>
  </w:num>
  <w:num w:numId="40" w16cid:durableId="886793703">
    <w:abstractNumId w:val="10"/>
  </w:num>
  <w:num w:numId="41" w16cid:durableId="6249567">
    <w:abstractNumId w:val="17"/>
  </w:num>
  <w:num w:numId="42" w16cid:durableId="1618295104">
    <w:abstractNumId w:val="5"/>
    <w:lvlOverride w:ilvl="0">
      <w:startOverride w:val="1"/>
    </w:lvlOverride>
  </w:num>
  <w:num w:numId="43" w16cid:durableId="1457916894">
    <w:abstractNumId w:val="1"/>
  </w:num>
  <w:num w:numId="44" w16cid:durableId="82338863">
    <w:abstractNumId w:val="13"/>
  </w:num>
  <w:num w:numId="45" w16cid:durableId="1852601601">
    <w:abstractNumId w:val="16"/>
  </w:num>
  <w:num w:numId="46" w16cid:durableId="1722171659">
    <w:abstractNumId w:val="18"/>
  </w:num>
  <w:num w:numId="47" w16cid:durableId="1834294957">
    <w:abstractNumId w:val="14"/>
  </w:num>
  <w:num w:numId="48" w16cid:durableId="1700163892">
    <w:abstractNumId w:val="5"/>
  </w:num>
  <w:num w:numId="49" w16cid:durableId="1346177251">
    <w:abstractNumId w:val="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C6A"/>
    <w:rsid w:val="0000047B"/>
    <w:rsid w:val="00000603"/>
    <w:rsid w:val="00000619"/>
    <w:rsid w:val="00000944"/>
    <w:rsid w:val="00000955"/>
    <w:rsid w:val="00000966"/>
    <w:rsid w:val="00000DDE"/>
    <w:rsid w:val="00001A75"/>
    <w:rsid w:val="000022DC"/>
    <w:rsid w:val="00002C70"/>
    <w:rsid w:val="00002DC0"/>
    <w:rsid w:val="00002FAB"/>
    <w:rsid w:val="00003439"/>
    <w:rsid w:val="00003B12"/>
    <w:rsid w:val="00003B69"/>
    <w:rsid w:val="00003DF8"/>
    <w:rsid w:val="000040FA"/>
    <w:rsid w:val="00005015"/>
    <w:rsid w:val="0000546E"/>
    <w:rsid w:val="00005668"/>
    <w:rsid w:val="000056F5"/>
    <w:rsid w:val="0000577D"/>
    <w:rsid w:val="0000585A"/>
    <w:rsid w:val="00005E8C"/>
    <w:rsid w:val="00006093"/>
    <w:rsid w:val="000060E1"/>
    <w:rsid w:val="000064D1"/>
    <w:rsid w:val="0000661A"/>
    <w:rsid w:val="00006702"/>
    <w:rsid w:val="00006761"/>
    <w:rsid w:val="00006A9C"/>
    <w:rsid w:val="00006D5E"/>
    <w:rsid w:val="00006DCA"/>
    <w:rsid w:val="00006DD0"/>
    <w:rsid w:val="00006EEA"/>
    <w:rsid w:val="00006F35"/>
    <w:rsid w:val="0000707D"/>
    <w:rsid w:val="000074F7"/>
    <w:rsid w:val="00007622"/>
    <w:rsid w:val="00007665"/>
    <w:rsid w:val="00007C13"/>
    <w:rsid w:val="00007C7D"/>
    <w:rsid w:val="00007CC1"/>
    <w:rsid w:val="00007E68"/>
    <w:rsid w:val="00007F52"/>
    <w:rsid w:val="00010139"/>
    <w:rsid w:val="0001023B"/>
    <w:rsid w:val="00010294"/>
    <w:rsid w:val="000102DA"/>
    <w:rsid w:val="00010454"/>
    <w:rsid w:val="00010468"/>
    <w:rsid w:val="000106C4"/>
    <w:rsid w:val="00011412"/>
    <w:rsid w:val="000115A7"/>
    <w:rsid w:val="00011757"/>
    <w:rsid w:val="00011C71"/>
    <w:rsid w:val="00011E66"/>
    <w:rsid w:val="00011ED0"/>
    <w:rsid w:val="00011FFE"/>
    <w:rsid w:val="000122AF"/>
    <w:rsid w:val="000124A9"/>
    <w:rsid w:val="000124AA"/>
    <w:rsid w:val="0001251F"/>
    <w:rsid w:val="000126DB"/>
    <w:rsid w:val="00012DC8"/>
    <w:rsid w:val="00013029"/>
    <w:rsid w:val="00013463"/>
    <w:rsid w:val="00013586"/>
    <w:rsid w:val="00013689"/>
    <w:rsid w:val="00013DCB"/>
    <w:rsid w:val="000140D7"/>
    <w:rsid w:val="00014137"/>
    <w:rsid w:val="00014341"/>
    <w:rsid w:val="0001495E"/>
    <w:rsid w:val="000149EA"/>
    <w:rsid w:val="00014AF9"/>
    <w:rsid w:val="00014B34"/>
    <w:rsid w:val="00015474"/>
    <w:rsid w:val="000156B3"/>
    <w:rsid w:val="000156CB"/>
    <w:rsid w:val="00015DA1"/>
    <w:rsid w:val="00015F88"/>
    <w:rsid w:val="00016059"/>
    <w:rsid w:val="000161EE"/>
    <w:rsid w:val="000169AD"/>
    <w:rsid w:val="000169E0"/>
    <w:rsid w:val="00016B4B"/>
    <w:rsid w:val="000170C8"/>
    <w:rsid w:val="000172B7"/>
    <w:rsid w:val="00017399"/>
    <w:rsid w:val="0001752A"/>
    <w:rsid w:val="000176C2"/>
    <w:rsid w:val="00017A18"/>
    <w:rsid w:val="00017EC4"/>
    <w:rsid w:val="0002037F"/>
    <w:rsid w:val="00020ABC"/>
    <w:rsid w:val="00020B98"/>
    <w:rsid w:val="00020C49"/>
    <w:rsid w:val="00020CB4"/>
    <w:rsid w:val="00021713"/>
    <w:rsid w:val="00021EB1"/>
    <w:rsid w:val="00021F76"/>
    <w:rsid w:val="00022379"/>
    <w:rsid w:val="00022512"/>
    <w:rsid w:val="000226CC"/>
    <w:rsid w:val="00022767"/>
    <w:rsid w:val="00022964"/>
    <w:rsid w:val="00022A67"/>
    <w:rsid w:val="00022D8C"/>
    <w:rsid w:val="000233A3"/>
    <w:rsid w:val="00023493"/>
    <w:rsid w:val="00023784"/>
    <w:rsid w:val="000237F6"/>
    <w:rsid w:val="00023AB7"/>
    <w:rsid w:val="00024166"/>
    <w:rsid w:val="00024CF8"/>
    <w:rsid w:val="00025139"/>
    <w:rsid w:val="00025BD1"/>
    <w:rsid w:val="00025CA6"/>
    <w:rsid w:val="00025D4C"/>
    <w:rsid w:val="00025FCA"/>
    <w:rsid w:val="00025FE8"/>
    <w:rsid w:val="00026740"/>
    <w:rsid w:val="000267D2"/>
    <w:rsid w:val="00026DF4"/>
    <w:rsid w:val="000272DE"/>
    <w:rsid w:val="00027830"/>
    <w:rsid w:val="0002799F"/>
    <w:rsid w:val="00027AD5"/>
    <w:rsid w:val="00027B66"/>
    <w:rsid w:val="00027BFC"/>
    <w:rsid w:val="00027E15"/>
    <w:rsid w:val="00027E38"/>
    <w:rsid w:val="00027E75"/>
    <w:rsid w:val="00027F2B"/>
    <w:rsid w:val="000300BE"/>
    <w:rsid w:val="00030EBB"/>
    <w:rsid w:val="00031126"/>
    <w:rsid w:val="0003140B"/>
    <w:rsid w:val="000319D6"/>
    <w:rsid w:val="00031CA2"/>
    <w:rsid w:val="000320E5"/>
    <w:rsid w:val="000322D4"/>
    <w:rsid w:val="00032457"/>
    <w:rsid w:val="000325B3"/>
    <w:rsid w:val="0003296B"/>
    <w:rsid w:val="000329E3"/>
    <w:rsid w:val="00032A12"/>
    <w:rsid w:val="00032E84"/>
    <w:rsid w:val="00033275"/>
    <w:rsid w:val="00033435"/>
    <w:rsid w:val="00033452"/>
    <w:rsid w:val="00033699"/>
    <w:rsid w:val="00033813"/>
    <w:rsid w:val="00033925"/>
    <w:rsid w:val="00033B8E"/>
    <w:rsid w:val="00033DB5"/>
    <w:rsid w:val="00033EB7"/>
    <w:rsid w:val="000341A6"/>
    <w:rsid w:val="000341C9"/>
    <w:rsid w:val="000344F9"/>
    <w:rsid w:val="00034868"/>
    <w:rsid w:val="00034AF6"/>
    <w:rsid w:val="00034E4A"/>
    <w:rsid w:val="00035680"/>
    <w:rsid w:val="00035776"/>
    <w:rsid w:val="000359B6"/>
    <w:rsid w:val="0003606B"/>
    <w:rsid w:val="00036333"/>
    <w:rsid w:val="0003635E"/>
    <w:rsid w:val="0003662A"/>
    <w:rsid w:val="000367F1"/>
    <w:rsid w:val="00036966"/>
    <w:rsid w:val="00036EDF"/>
    <w:rsid w:val="00037913"/>
    <w:rsid w:val="00037954"/>
    <w:rsid w:val="0003798E"/>
    <w:rsid w:val="00037CFA"/>
    <w:rsid w:val="000401F5"/>
    <w:rsid w:val="000401F8"/>
    <w:rsid w:val="000402B0"/>
    <w:rsid w:val="00040403"/>
    <w:rsid w:val="00040583"/>
    <w:rsid w:val="000405CF"/>
    <w:rsid w:val="00040758"/>
    <w:rsid w:val="000408CD"/>
    <w:rsid w:val="000409AD"/>
    <w:rsid w:val="000409B7"/>
    <w:rsid w:val="00040ACF"/>
    <w:rsid w:val="00040BC3"/>
    <w:rsid w:val="00040C2A"/>
    <w:rsid w:val="00040D29"/>
    <w:rsid w:val="0004111F"/>
    <w:rsid w:val="00041968"/>
    <w:rsid w:val="00041D2B"/>
    <w:rsid w:val="00042141"/>
    <w:rsid w:val="00042260"/>
    <w:rsid w:val="00042282"/>
    <w:rsid w:val="000424E6"/>
    <w:rsid w:val="00042519"/>
    <w:rsid w:val="000429E3"/>
    <w:rsid w:val="00042A84"/>
    <w:rsid w:val="000430FD"/>
    <w:rsid w:val="0004315B"/>
    <w:rsid w:val="00043387"/>
    <w:rsid w:val="000434E6"/>
    <w:rsid w:val="0004359D"/>
    <w:rsid w:val="0004361C"/>
    <w:rsid w:val="00043BB2"/>
    <w:rsid w:val="00043FBE"/>
    <w:rsid w:val="000440CF"/>
    <w:rsid w:val="00044442"/>
    <w:rsid w:val="000446B0"/>
    <w:rsid w:val="000447F3"/>
    <w:rsid w:val="0004486A"/>
    <w:rsid w:val="00044F93"/>
    <w:rsid w:val="00045060"/>
    <w:rsid w:val="000450CB"/>
    <w:rsid w:val="00045156"/>
    <w:rsid w:val="00045220"/>
    <w:rsid w:val="00045486"/>
    <w:rsid w:val="000455DF"/>
    <w:rsid w:val="00045794"/>
    <w:rsid w:val="0004587A"/>
    <w:rsid w:val="00045B52"/>
    <w:rsid w:val="00045FB4"/>
    <w:rsid w:val="00046095"/>
    <w:rsid w:val="00046213"/>
    <w:rsid w:val="0004624B"/>
    <w:rsid w:val="000464BA"/>
    <w:rsid w:val="000464BD"/>
    <w:rsid w:val="000466C1"/>
    <w:rsid w:val="00046711"/>
    <w:rsid w:val="000467A6"/>
    <w:rsid w:val="00046D66"/>
    <w:rsid w:val="000470A1"/>
    <w:rsid w:val="000470D7"/>
    <w:rsid w:val="00047310"/>
    <w:rsid w:val="000479CD"/>
    <w:rsid w:val="00047A67"/>
    <w:rsid w:val="00047B18"/>
    <w:rsid w:val="00047E22"/>
    <w:rsid w:val="00047E80"/>
    <w:rsid w:val="00047F04"/>
    <w:rsid w:val="00050112"/>
    <w:rsid w:val="00050245"/>
    <w:rsid w:val="00050267"/>
    <w:rsid w:val="0005085C"/>
    <w:rsid w:val="0005091A"/>
    <w:rsid w:val="00051164"/>
    <w:rsid w:val="00051D1D"/>
    <w:rsid w:val="00051E0B"/>
    <w:rsid w:val="00051F7B"/>
    <w:rsid w:val="00052271"/>
    <w:rsid w:val="000527F4"/>
    <w:rsid w:val="00052B08"/>
    <w:rsid w:val="0005375C"/>
    <w:rsid w:val="00053820"/>
    <w:rsid w:val="000538C2"/>
    <w:rsid w:val="00053998"/>
    <w:rsid w:val="00053BFE"/>
    <w:rsid w:val="00053DCA"/>
    <w:rsid w:val="00053F06"/>
    <w:rsid w:val="00053FC6"/>
    <w:rsid w:val="00053FCC"/>
    <w:rsid w:val="000540EB"/>
    <w:rsid w:val="0005411F"/>
    <w:rsid w:val="00054267"/>
    <w:rsid w:val="0005468B"/>
    <w:rsid w:val="0005495E"/>
    <w:rsid w:val="00054AF1"/>
    <w:rsid w:val="00054E29"/>
    <w:rsid w:val="00054ECD"/>
    <w:rsid w:val="00055110"/>
    <w:rsid w:val="000551FB"/>
    <w:rsid w:val="00055207"/>
    <w:rsid w:val="00055300"/>
    <w:rsid w:val="00055309"/>
    <w:rsid w:val="000557EA"/>
    <w:rsid w:val="00055A05"/>
    <w:rsid w:val="00055C95"/>
    <w:rsid w:val="00055E6F"/>
    <w:rsid w:val="00055EBD"/>
    <w:rsid w:val="00056285"/>
    <w:rsid w:val="00056387"/>
    <w:rsid w:val="00056805"/>
    <w:rsid w:val="00056DFB"/>
    <w:rsid w:val="00056F5F"/>
    <w:rsid w:val="0005704F"/>
    <w:rsid w:val="000570A7"/>
    <w:rsid w:val="00057588"/>
    <w:rsid w:val="000576A0"/>
    <w:rsid w:val="0005773B"/>
    <w:rsid w:val="000578E3"/>
    <w:rsid w:val="00060028"/>
    <w:rsid w:val="0006047C"/>
    <w:rsid w:val="0006088A"/>
    <w:rsid w:val="00060B08"/>
    <w:rsid w:val="00060EDA"/>
    <w:rsid w:val="00060FA1"/>
    <w:rsid w:val="000610FB"/>
    <w:rsid w:val="00061175"/>
    <w:rsid w:val="000611D1"/>
    <w:rsid w:val="000615F2"/>
    <w:rsid w:val="00061961"/>
    <w:rsid w:val="00061963"/>
    <w:rsid w:val="00061A5C"/>
    <w:rsid w:val="00061A9F"/>
    <w:rsid w:val="00061BB7"/>
    <w:rsid w:val="00062032"/>
    <w:rsid w:val="000627F2"/>
    <w:rsid w:val="00062AFE"/>
    <w:rsid w:val="00062B0C"/>
    <w:rsid w:val="00062C04"/>
    <w:rsid w:val="00063101"/>
    <w:rsid w:val="00063337"/>
    <w:rsid w:val="000633E2"/>
    <w:rsid w:val="00063498"/>
    <w:rsid w:val="000635E3"/>
    <w:rsid w:val="0006370A"/>
    <w:rsid w:val="0006370E"/>
    <w:rsid w:val="00063947"/>
    <w:rsid w:val="0006399C"/>
    <w:rsid w:val="00063C06"/>
    <w:rsid w:val="00063C8B"/>
    <w:rsid w:val="00063D9C"/>
    <w:rsid w:val="00064104"/>
    <w:rsid w:val="000641DE"/>
    <w:rsid w:val="000645D2"/>
    <w:rsid w:val="000645E1"/>
    <w:rsid w:val="0006488C"/>
    <w:rsid w:val="00064F93"/>
    <w:rsid w:val="000657DC"/>
    <w:rsid w:val="0006586D"/>
    <w:rsid w:val="00065E2F"/>
    <w:rsid w:val="00066075"/>
    <w:rsid w:val="000663DA"/>
    <w:rsid w:val="00066F22"/>
    <w:rsid w:val="00066F6B"/>
    <w:rsid w:val="00066FD2"/>
    <w:rsid w:val="000670BB"/>
    <w:rsid w:val="0006724A"/>
    <w:rsid w:val="00067CC5"/>
    <w:rsid w:val="00067E5C"/>
    <w:rsid w:val="000702E1"/>
    <w:rsid w:val="000704CD"/>
    <w:rsid w:val="0007078D"/>
    <w:rsid w:val="00070C1B"/>
    <w:rsid w:val="000712AD"/>
    <w:rsid w:val="000716FD"/>
    <w:rsid w:val="00071977"/>
    <w:rsid w:val="00071A22"/>
    <w:rsid w:val="00071B58"/>
    <w:rsid w:val="00072199"/>
    <w:rsid w:val="00072569"/>
    <w:rsid w:val="00072634"/>
    <w:rsid w:val="000726B1"/>
    <w:rsid w:val="000726C8"/>
    <w:rsid w:val="0007291D"/>
    <w:rsid w:val="00072C6A"/>
    <w:rsid w:val="00072D8D"/>
    <w:rsid w:val="00073344"/>
    <w:rsid w:val="00073841"/>
    <w:rsid w:val="00073B16"/>
    <w:rsid w:val="00073B89"/>
    <w:rsid w:val="000743D5"/>
    <w:rsid w:val="00074970"/>
    <w:rsid w:val="000749BA"/>
    <w:rsid w:val="00074E45"/>
    <w:rsid w:val="0007545B"/>
    <w:rsid w:val="0007561B"/>
    <w:rsid w:val="0007563D"/>
    <w:rsid w:val="00075774"/>
    <w:rsid w:val="00075918"/>
    <w:rsid w:val="00075993"/>
    <w:rsid w:val="00075CD7"/>
    <w:rsid w:val="00075D73"/>
    <w:rsid w:val="000760F2"/>
    <w:rsid w:val="000763F1"/>
    <w:rsid w:val="00076476"/>
    <w:rsid w:val="0007659A"/>
    <w:rsid w:val="00076670"/>
    <w:rsid w:val="000766F6"/>
    <w:rsid w:val="00076762"/>
    <w:rsid w:val="00076D08"/>
    <w:rsid w:val="00076F10"/>
    <w:rsid w:val="000773DB"/>
    <w:rsid w:val="00077524"/>
    <w:rsid w:val="000775A0"/>
    <w:rsid w:val="0007765B"/>
    <w:rsid w:val="0007770E"/>
    <w:rsid w:val="000777AA"/>
    <w:rsid w:val="000777EF"/>
    <w:rsid w:val="000778A6"/>
    <w:rsid w:val="00077C22"/>
    <w:rsid w:val="00077FAC"/>
    <w:rsid w:val="0008004F"/>
    <w:rsid w:val="000800F7"/>
    <w:rsid w:val="00080213"/>
    <w:rsid w:val="0008036E"/>
    <w:rsid w:val="00080920"/>
    <w:rsid w:val="00080B23"/>
    <w:rsid w:val="00080C4F"/>
    <w:rsid w:val="00080F22"/>
    <w:rsid w:val="000817C2"/>
    <w:rsid w:val="00081D99"/>
    <w:rsid w:val="00081DBA"/>
    <w:rsid w:val="00081E9C"/>
    <w:rsid w:val="0008268B"/>
    <w:rsid w:val="00082D82"/>
    <w:rsid w:val="00082DEB"/>
    <w:rsid w:val="00082E3A"/>
    <w:rsid w:val="00082F22"/>
    <w:rsid w:val="00083346"/>
    <w:rsid w:val="0008370A"/>
    <w:rsid w:val="0008396B"/>
    <w:rsid w:val="00083CDE"/>
    <w:rsid w:val="00083F50"/>
    <w:rsid w:val="00084271"/>
    <w:rsid w:val="0008451C"/>
    <w:rsid w:val="00084D73"/>
    <w:rsid w:val="00085A29"/>
    <w:rsid w:val="00085D35"/>
    <w:rsid w:val="00085E9C"/>
    <w:rsid w:val="000860FE"/>
    <w:rsid w:val="000861B1"/>
    <w:rsid w:val="000861F3"/>
    <w:rsid w:val="00086622"/>
    <w:rsid w:val="00086A92"/>
    <w:rsid w:val="00087060"/>
    <w:rsid w:val="0008719B"/>
    <w:rsid w:val="0008763E"/>
    <w:rsid w:val="000878DF"/>
    <w:rsid w:val="000878FE"/>
    <w:rsid w:val="00087C51"/>
    <w:rsid w:val="00087CC1"/>
    <w:rsid w:val="000900FB"/>
    <w:rsid w:val="00090274"/>
    <w:rsid w:val="0009051A"/>
    <w:rsid w:val="000906A5"/>
    <w:rsid w:val="000908C2"/>
    <w:rsid w:val="00090A55"/>
    <w:rsid w:val="000913C7"/>
    <w:rsid w:val="00091570"/>
    <w:rsid w:val="00091D6C"/>
    <w:rsid w:val="00092027"/>
    <w:rsid w:val="0009222C"/>
    <w:rsid w:val="0009253A"/>
    <w:rsid w:val="000925DA"/>
    <w:rsid w:val="00092746"/>
    <w:rsid w:val="00092751"/>
    <w:rsid w:val="00092D6B"/>
    <w:rsid w:val="00093278"/>
    <w:rsid w:val="000934EB"/>
    <w:rsid w:val="00093554"/>
    <w:rsid w:val="000935D0"/>
    <w:rsid w:val="00093663"/>
    <w:rsid w:val="000937F0"/>
    <w:rsid w:val="000937F6"/>
    <w:rsid w:val="00093945"/>
    <w:rsid w:val="00093D34"/>
    <w:rsid w:val="0009456B"/>
    <w:rsid w:val="0009461E"/>
    <w:rsid w:val="00094736"/>
    <w:rsid w:val="0009479F"/>
    <w:rsid w:val="00094914"/>
    <w:rsid w:val="00094AAD"/>
    <w:rsid w:val="00094D51"/>
    <w:rsid w:val="00094D63"/>
    <w:rsid w:val="000953C0"/>
    <w:rsid w:val="00095410"/>
    <w:rsid w:val="00095B39"/>
    <w:rsid w:val="00095C33"/>
    <w:rsid w:val="00095D18"/>
    <w:rsid w:val="00095DF4"/>
    <w:rsid w:val="00096748"/>
    <w:rsid w:val="00096C54"/>
    <w:rsid w:val="00096C68"/>
    <w:rsid w:val="00096D29"/>
    <w:rsid w:val="00096F2E"/>
    <w:rsid w:val="0009703B"/>
    <w:rsid w:val="00097450"/>
    <w:rsid w:val="00097855"/>
    <w:rsid w:val="00097B52"/>
    <w:rsid w:val="00097F01"/>
    <w:rsid w:val="00097F59"/>
    <w:rsid w:val="00097FAF"/>
    <w:rsid w:val="000A05A3"/>
    <w:rsid w:val="000A06A9"/>
    <w:rsid w:val="000A0BF6"/>
    <w:rsid w:val="000A0E12"/>
    <w:rsid w:val="000A0F98"/>
    <w:rsid w:val="000A13B0"/>
    <w:rsid w:val="000A18CE"/>
    <w:rsid w:val="000A1BF3"/>
    <w:rsid w:val="000A2727"/>
    <w:rsid w:val="000A298F"/>
    <w:rsid w:val="000A310B"/>
    <w:rsid w:val="000A3183"/>
    <w:rsid w:val="000A36ED"/>
    <w:rsid w:val="000A3901"/>
    <w:rsid w:val="000A472B"/>
    <w:rsid w:val="000A4B41"/>
    <w:rsid w:val="000A58BD"/>
    <w:rsid w:val="000A598E"/>
    <w:rsid w:val="000A5CF4"/>
    <w:rsid w:val="000A6037"/>
    <w:rsid w:val="000A608D"/>
    <w:rsid w:val="000A60DF"/>
    <w:rsid w:val="000A6393"/>
    <w:rsid w:val="000A6542"/>
    <w:rsid w:val="000A6618"/>
    <w:rsid w:val="000A66DF"/>
    <w:rsid w:val="000A6796"/>
    <w:rsid w:val="000A6AEA"/>
    <w:rsid w:val="000A6CA3"/>
    <w:rsid w:val="000A6F4F"/>
    <w:rsid w:val="000A6FA2"/>
    <w:rsid w:val="000A7742"/>
    <w:rsid w:val="000A7984"/>
    <w:rsid w:val="000A7A74"/>
    <w:rsid w:val="000A7B2E"/>
    <w:rsid w:val="000A7C42"/>
    <w:rsid w:val="000A7E7D"/>
    <w:rsid w:val="000B0085"/>
    <w:rsid w:val="000B0254"/>
    <w:rsid w:val="000B02B1"/>
    <w:rsid w:val="000B0392"/>
    <w:rsid w:val="000B05B2"/>
    <w:rsid w:val="000B06AF"/>
    <w:rsid w:val="000B0754"/>
    <w:rsid w:val="000B0D8A"/>
    <w:rsid w:val="000B1123"/>
    <w:rsid w:val="000B123F"/>
    <w:rsid w:val="000B1284"/>
    <w:rsid w:val="000B1508"/>
    <w:rsid w:val="000B165D"/>
    <w:rsid w:val="000B1774"/>
    <w:rsid w:val="000B18B5"/>
    <w:rsid w:val="000B197B"/>
    <w:rsid w:val="000B1A85"/>
    <w:rsid w:val="000B1A9A"/>
    <w:rsid w:val="000B1ED2"/>
    <w:rsid w:val="000B1FC1"/>
    <w:rsid w:val="000B2366"/>
    <w:rsid w:val="000B2949"/>
    <w:rsid w:val="000B30C5"/>
    <w:rsid w:val="000B34CD"/>
    <w:rsid w:val="000B3566"/>
    <w:rsid w:val="000B39AB"/>
    <w:rsid w:val="000B3B88"/>
    <w:rsid w:val="000B42B8"/>
    <w:rsid w:val="000B44DA"/>
    <w:rsid w:val="000B455C"/>
    <w:rsid w:val="000B45C4"/>
    <w:rsid w:val="000B4710"/>
    <w:rsid w:val="000B5069"/>
    <w:rsid w:val="000B536D"/>
    <w:rsid w:val="000B5424"/>
    <w:rsid w:val="000B5A6D"/>
    <w:rsid w:val="000B6665"/>
    <w:rsid w:val="000B67C2"/>
    <w:rsid w:val="000B6980"/>
    <w:rsid w:val="000B6D12"/>
    <w:rsid w:val="000B71A1"/>
    <w:rsid w:val="000B7433"/>
    <w:rsid w:val="000B779E"/>
    <w:rsid w:val="000B782C"/>
    <w:rsid w:val="000B79CD"/>
    <w:rsid w:val="000B7B7E"/>
    <w:rsid w:val="000B7CA4"/>
    <w:rsid w:val="000C0201"/>
    <w:rsid w:val="000C07A9"/>
    <w:rsid w:val="000C087A"/>
    <w:rsid w:val="000C0B02"/>
    <w:rsid w:val="000C0CA3"/>
    <w:rsid w:val="000C0E03"/>
    <w:rsid w:val="000C0FB6"/>
    <w:rsid w:val="000C151A"/>
    <w:rsid w:val="000C1B51"/>
    <w:rsid w:val="000C2292"/>
    <w:rsid w:val="000C24A2"/>
    <w:rsid w:val="000C2564"/>
    <w:rsid w:val="000C2875"/>
    <w:rsid w:val="000C2B58"/>
    <w:rsid w:val="000C2BDD"/>
    <w:rsid w:val="000C2D14"/>
    <w:rsid w:val="000C3023"/>
    <w:rsid w:val="000C30B3"/>
    <w:rsid w:val="000C3374"/>
    <w:rsid w:val="000C38BA"/>
    <w:rsid w:val="000C4585"/>
    <w:rsid w:val="000C4B49"/>
    <w:rsid w:val="000C4B84"/>
    <w:rsid w:val="000C5165"/>
    <w:rsid w:val="000C5281"/>
    <w:rsid w:val="000C54B5"/>
    <w:rsid w:val="000C566F"/>
    <w:rsid w:val="000C5951"/>
    <w:rsid w:val="000C5A35"/>
    <w:rsid w:val="000C5D1D"/>
    <w:rsid w:val="000C5FFF"/>
    <w:rsid w:val="000C61D5"/>
    <w:rsid w:val="000C6296"/>
    <w:rsid w:val="000C63E0"/>
    <w:rsid w:val="000C656F"/>
    <w:rsid w:val="000C66DD"/>
    <w:rsid w:val="000C6898"/>
    <w:rsid w:val="000C691C"/>
    <w:rsid w:val="000C7547"/>
    <w:rsid w:val="000D003A"/>
    <w:rsid w:val="000D036D"/>
    <w:rsid w:val="000D046F"/>
    <w:rsid w:val="000D053B"/>
    <w:rsid w:val="000D05BF"/>
    <w:rsid w:val="000D0838"/>
    <w:rsid w:val="000D087F"/>
    <w:rsid w:val="000D0956"/>
    <w:rsid w:val="000D0A42"/>
    <w:rsid w:val="000D0D90"/>
    <w:rsid w:val="000D0E09"/>
    <w:rsid w:val="000D0EC9"/>
    <w:rsid w:val="000D0F4F"/>
    <w:rsid w:val="000D1219"/>
    <w:rsid w:val="000D15FB"/>
    <w:rsid w:val="000D1A7F"/>
    <w:rsid w:val="000D1BC9"/>
    <w:rsid w:val="000D1C51"/>
    <w:rsid w:val="000D1C91"/>
    <w:rsid w:val="000D229D"/>
    <w:rsid w:val="000D23FA"/>
    <w:rsid w:val="000D2793"/>
    <w:rsid w:val="000D2990"/>
    <w:rsid w:val="000D29CB"/>
    <w:rsid w:val="000D2BCA"/>
    <w:rsid w:val="000D2F1D"/>
    <w:rsid w:val="000D3029"/>
    <w:rsid w:val="000D308A"/>
    <w:rsid w:val="000D317E"/>
    <w:rsid w:val="000D365D"/>
    <w:rsid w:val="000D3DC8"/>
    <w:rsid w:val="000D40A3"/>
    <w:rsid w:val="000D40C5"/>
    <w:rsid w:val="000D40E7"/>
    <w:rsid w:val="000D41B7"/>
    <w:rsid w:val="000D421D"/>
    <w:rsid w:val="000D464B"/>
    <w:rsid w:val="000D4988"/>
    <w:rsid w:val="000D4B18"/>
    <w:rsid w:val="000D4F39"/>
    <w:rsid w:val="000D4FA2"/>
    <w:rsid w:val="000D4FCE"/>
    <w:rsid w:val="000D517E"/>
    <w:rsid w:val="000D55E2"/>
    <w:rsid w:val="000D567F"/>
    <w:rsid w:val="000D59F3"/>
    <w:rsid w:val="000D5B77"/>
    <w:rsid w:val="000D5C51"/>
    <w:rsid w:val="000D5CE6"/>
    <w:rsid w:val="000D6017"/>
    <w:rsid w:val="000D609F"/>
    <w:rsid w:val="000D6439"/>
    <w:rsid w:val="000D65D7"/>
    <w:rsid w:val="000D667C"/>
    <w:rsid w:val="000D68FA"/>
    <w:rsid w:val="000D6A02"/>
    <w:rsid w:val="000D6C88"/>
    <w:rsid w:val="000D6DA3"/>
    <w:rsid w:val="000D703C"/>
    <w:rsid w:val="000D7083"/>
    <w:rsid w:val="000D7561"/>
    <w:rsid w:val="000D77B7"/>
    <w:rsid w:val="000D7A59"/>
    <w:rsid w:val="000D7CCA"/>
    <w:rsid w:val="000D7D56"/>
    <w:rsid w:val="000D7FA2"/>
    <w:rsid w:val="000D7FFD"/>
    <w:rsid w:val="000E01CE"/>
    <w:rsid w:val="000E0699"/>
    <w:rsid w:val="000E080E"/>
    <w:rsid w:val="000E0A26"/>
    <w:rsid w:val="000E1003"/>
    <w:rsid w:val="000E102E"/>
    <w:rsid w:val="000E10C6"/>
    <w:rsid w:val="000E147F"/>
    <w:rsid w:val="000E157C"/>
    <w:rsid w:val="000E18AE"/>
    <w:rsid w:val="000E18F4"/>
    <w:rsid w:val="000E1CAE"/>
    <w:rsid w:val="000E1D47"/>
    <w:rsid w:val="000E1D61"/>
    <w:rsid w:val="000E21FD"/>
    <w:rsid w:val="000E2D1C"/>
    <w:rsid w:val="000E2EB5"/>
    <w:rsid w:val="000E2ECF"/>
    <w:rsid w:val="000E31AA"/>
    <w:rsid w:val="000E3441"/>
    <w:rsid w:val="000E3622"/>
    <w:rsid w:val="000E381A"/>
    <w:rsid w:val="000E39A1"/>
    <w:rsid w:val="000E3AC3"/>
    <w:rsid w:val="000E3B46"/>
    <w:rsid w:val="000E3B7C"/>
    <w:rsid w:val="000E46B9"/>
    <w:rsid w:val="000E471A"/>
    <w:rsid w:val="000E48BD"/>
    <w:rsid w:val="000E529A"/>
    <w:rsid w:val="000E55C5"/>
    <w:rsid w:val="000E5AAB"/>
    <w:rsid w:val="000E5D04"/>
    <w:rsid w:val="000E5F15"/>
    <w:rsid w:val="000E6123"/>
    <w:rsid w:val="000E6130"/>
    <w:rsid w:val="000E61C3"/>
    <w:rsid w:val="000E64E2"/>
    <w:rsid w:val="000E690B"/>
    <w:rsid w:val="000E69DC"/>
    <w:rsid w:val="000E6E88"/>
    <w:rsid w:val="000E7078"/>
    <w:rsid w:val="000E717A"/>
    <w:rsid w:val="000E73BC"/>
    <w:rsid w:val="000E7B6D"/>
    <w:rsid w:val="000E7B95"/>
    <w:rsid w:val="000F0B2B"/>
    <w:rsid w:val="000F0B33"/>
    <w:rsid w:val="000F0CF1"/>
    <w:rsid w:val="000F0D88"/>
    <w:rsid w:val="000F0FD2"/>
    <w:rsid w:val="000F0FEA"/>
    <w:rsid w:val="000F1A08"/>
    <w:rsid w:val="000F1AF3"/>
    <w:rsid w:val="000F1B74"/>
    <w:rsid w:val="000F2137"/>
    <w:rsid w:val="000F22E2"/>
    <w:rsid w:val="000F25B9"/>
    <w:rsid w:val="000F2634"/>
    <w:rsid w:val="000F293E"/>
    <w:rsid w:val="000F2A25"/>
    <w:rsid w:val="000F2A9E"/>
    <w:rsid w:val="000F2F75"/>
    <w:rsid w:val="000F2F85"/>
    <w:rsid w:val="000F3412"/>
    <w:rsid w:val="000F3B88"/>
    <w:rsid w:val="000F3C25"/>
    <w:rsid w:val="000F3FC1"/>
    <w:rsid w:val="000F401C"/>
    <w:rsid w:val="000F4262"/>
    <w:rsid w:val="000F4702"/>
    <w:rsid w:val="000F47AA"/>
    <w:rsid w:val="000F47DB"/>
    <w:rsid w:val="000F49E0"/>
    <w:rsid w:val="000F4ECB"/>
    <w:rsid w:val="000F4F91"/>
    <w:rsid w:val="000F5291"/>
    <w:rsid w:val="000F54E4"/>
    <w:rsid w:val="000F5738"/>
    <w:rsid w:val="000F58AF"/>
    <w:rsid w:val="000F5AAD"/>
    <w:rsid w:val="000F5AB4"/>
    <w:rsid w:val="000F5AC8"/>
    <w:rsid w:val="000F6062"/>
    <w:rsid w:val="000F61C3"/>
    <w:rsid w:val="000F6619"/>
    <w:rsid w:val="000F667F"/>
    <w:rsid w:val="000F6F65"/>
    <w:rsid w:val="000F7111"/>
    <w:rsid w:val="000F77DE"/>
    <w:rsid w:val="000F7A34"/>
    <w:rsid w:val="000F7B14"/>
    <w:rsid w:val="000F7C2D"/>
    <w:rsid w:val="000F7EEC"/>
    <w:rsid w:val="000F7F07"/>
    <w:rsid w:val="001002AA"/>
    <w:rsid w:val="0010042C"/>
    <w:rsid w:val="001004F0"/>
    <w:rsid w:val="00100587"/>
    <w:rsid w:val="001007D8"/>
    <w:rsid w:val="0010084C"/>
    <w:rsid w:val="00101073"/>
    <w:rsid w:val="001012DD"/>
    <w:rsid w:val="0010141C"/>
    <w:rsid w:val="00101443"/>
    <w:rsid w:val="0010158D"/>
    <w:rsid w:val="001020C2"/>
    <w:rsid w:val="001027DB"/>
    <w:rsid w:val="00102976"/>
    <w:rsid w:val="00102B0A"/>
    <w:rsid w:val="00103193"/>
    <w:rsid w:val="0010338B"/>
    <w:rsid w:val="00103C87"/>
    <w:rsid w:val="00103D84"/>
    <w:rsid w:val="00103E79"/>
    <w:rsid w:val="00103EAC"/>
    <w:rsid w:val="001041AE"/>
    <w:rsid w:val="001042A8"/>
    <w:rsid w:val="00104373"/>
    <w:rsid w:val="001043A1"/>
    <w:rsid w:val="001046A4"/>
    <w:rsid w:val="00104752"/>
    <w:rsid w:val="0010478B"/>
    <w:rsid w:val="00104A3E"/>
    <w:rsid w:val="0010513F"/>
    <w:rsid w:val="00105BDE"/>
    <w:rsid w:val="00105FF8"/>
    <w:rsid w:val="001061B3"/>
    <w:rsid w:val="00106395"/>
    <w:rsid w:val="0010640B"/>
    <w:rsid w:val="001064E3"/>
    <w:rsid w:val="00106534"/>
    <w:rsid w:val="00106C6A"/>
    <w:rsid w:val="001070EC"/>
    <w:rsid w:val="00107149"/>
    <w:rsid w:val="00107B3C"/>
    <w:rsid w:val="00107BF1"/>
    <w:rsid w:val="001101F3"/>
    <w:rsid w:val="00110245"/>
    <w:rsid w:val="001106B4"/>
    <w:rsid w:val="001107F6"/>
    <w:rsid w:val="0011098E"/>
    <w:rsid w:val="00110A4D"/>
    <w:rsid w:val="00110A50"/>
    <w:rsid w:val="00110AD4"/>
    <w:rsid w:val="00110BCB"/>
    <w:rsid w:val="001110BA"/>
    <w:rsid w:val="001111DA"/>
    <w:rsid w:val="001112A2"/>
    <w:rsid w:val="001116D4"/>
    <w:rsid w:val="00111796"/>
    <w:rsid w:val="001118DD"/>
    <w:rsid w:val="00111BFD"/>
    <w:rsid w:val="00112A6B"/>
    <w:rsid w:val="00112E8B"/>
    <w:rsid w:val="00113180"/>
    <w:rsid w:val="0011322E"/>
    <w:rsid w:val="0011359C"/>
    <w:rsid w:val="001138A7"/>
    <w:rsid w:val="00113A70"/>
    <w:rsid w:val="00113B29"/>
    <w:rsid w:val="00113BD7"/>
    <w:rsid w:val="00113C5C"/>
    <w:rsid w:val="001142F7"/>
    <w:rsid w:val="00114615"/>
    <w:rsid w:val="0011461E"/>
    <w:rsid w:val="0011479B"/>
    <w:rsid w:val="001147BF"/>
    <w:rsid w:val="00114D72"/>
    <w:rsid w:val="00114FE6"/>
    <w:rsid w:val="00115045"/>
    <w:rsid w:val="00115440"/>
    <w:rsid w:val="00115474"/>
    <w:rsid w:val="00115857"/>
    <w:rsid w:val="00115929"/>
    <w:rsid w:val="00115BD8"/>
    <w:rsid w:val="00115E9C"/>
    <w:rsid w:val="00116AFE"/>
    <w:rsid w:val="00116E91"/>
    <w:rsid w:val="00117493"/>
    <w:rsid w:val="001178C0"/>
    <w:rsid w:val="00117D35"/>
    <w:rsid w:val="00117D75"/>
    <w:rsid w:val="0012006D"/>
    <w:rsid w:val="0012011D"/>
    <w:rsid w:val="00120279"/>
    <w:rsid w:val="00120A3C"/>
    <w:rsid w:val="00120EAC"/>
    <w:rsid w:val="00121779"/>
    <w:rsid w:val="001218FF"/>
    <w:rsid w:val="00122131"/>
    <w:rsid w:val="00122450"/>
    <w:rsid w:val="001225A0"/>
    <w:rsid w:val="001228DF"/>
    <w:rsid w:val="001235D5"/>
    <w:rsid w:val="00123A9E"/>
    <w:rsid w:val="00124448"/>
    <w:rsid w:val="001245C4"/>
    <w:rsid w:val="0012477C"/>
    <w:rsid w:val="00124DB4"/>
    <w:rsid w:val="00124EDE"/>
    <w:rsid w:val="00124FF3"/>
    <w:rsid w:val="0012502A"/>
    <w:rsid w:val="00125298"/>
    <w:rsid w:val="001254DB"/>
    <w:rsid w:val="00125529"/>
    <w:rsid w:val="0012556F"/>
    <w:rsid w:val="00125759"/>
    <w:rsid w:val="001257A5"/>
    <w:rsid w:val="00125890"/>
    <w:rsid w:val="00125F7E"/>
    <w:rsid w:val="001261BF"/>
    <w:rsid w:val="001262CB"/>
    <w:rsid w:val="00126376"/>
    <w:rsid w:val="0012645A"/>
    <w:rsid w:val="00126536"/>
    <w:rsid w:val="00126551"/>
    <w:rsid w:val="001269C0"/>
    <w:rsid w:val="00126A71"/>
    <w:rsid w:val="00126A94"/>
    <w:rsid w:val="00126C14"/>
    <w:rsid w:val="001276D3"/>
    <w:rsid w:val="00127713"/>
    <w:rsid w:val="001278B9"/>
    <w:rsid w:val="0013007D"/>
    <w:rsid w:val="001303AB"/>
    <w:rsid w:val="00130522"/>
    <w:rsid w:val="00130655"/>
    <w:rsid w:val="00130990"/>
    <w:rsid w:val="00130C6E"/>
    <w:rsid w:val="00130D12"/>
    <w:rsid w:val="00130DDA"/>
    <w:rsid w:val="00130E74"/>
    <w:rsid w:val="001312FA"/>
    <w:rsid w:val="0013169B"/>
    <w:rsid w:val="0013171B"/>
    <w:rsid w:val="0013181C"/>
    <w:rsid w:val="00131A25"/>
    <w:rsid w:val="00131A65"/>
    <w:rsid w:val="00131BD1"/>
    <w:rsid w:val="001326CA"/>
    <w:rsid w:val="001329F0"/>
    <w:rsid w:val="00132AFB"/>
    <w:rsid w:val="00132B4C"/>
    <w:rsid w:val="00132E1F"/>
    <w:rsid w:val="00132FCF"/>
    <w:rsid w:val="0013333F"/>
    <w:rsid w:val="001333F9"/>
    <w:rsid w:val="00133741"/>
    <w:rsid w:val="00133764"/>
    <w:rsid w:val="00133782"/>
    <w:rsid w:val="001337C4"/>
    <w:rsid w:val="00133CBE"/>
    <w:rsid w:val="00133E5E"/>
    <w:rsid w:val="00133EB9"/>
    <w:rsid w:val="001342F4"/>
    <w:rsid w:val="0013445E"/>
    <w:rsid w:val="00134563"/>
    <w:rsid w:val="00134949"/>
    <w:rsid w:val="00134BE5"/>
    <w:rsid w:val="00134C82"/>
    <w:rsid w:val="00134C89"/>
    <w:rsid w:val="00134DDF"/>
    <w:rsid w:val="00135059"/>
    <w:rsid w:val="001350E7"/>
    <w:rsid w:val="00135526"/>
    <w:rsid w:val="00135813"/>
    <w:rsid w:val="001359FE"/>
    <w:rsid w:val="00135BB5"/>
    <w:rsid w:val="00135C51"/>
    <w:rsid w:val="00135DDF"/>
    <w:rsid w:val="001363A0"/>
    <w:rsid w:val="001364AD"/>
    <w:rsid w:val="0013663E"/>
    <w:rsid w:val="00136A15"/>
    <w:rsid w:val="001372DF"/>
    <w:rsid w:val="0013734F"/>
    <w:rsid w:val="00137473"/>
    <w:rsid w:val="00137566"/>
    <w:rsid w:val="0013782E"/>
    <w:rsid w:val="001378D2"/>
    <w:rsid w:val="001378E3"/>
    <w:rsid w:val="00137A8F"/>
    <w:rsid w:val="00137D62"/>
    <w:rsid w:val="00140497"/>
    <w:rsid w:val="001405C3"/>
    <w:rsid w:val="001405FC"/>
    <w:rsid w:val="001406A8"/>
    <w:rsid w:val="00140915"/>
    <w:rsid w:val="00140DDF"/>
    <w:rsid w:val="00140F0E"/>
    <w:rsid w:val="001411C8"/>
    <w:rsid w:val="00141298"/>
    <w:rsid w:val="00141418"/>
    <w:rsid w:val="0014150B"/>
    <w:rsid w:val="00141766"/>
    <w:rsid w:val="00141ED7"/>
    <w:rsid w:val="00141F3E"/>
    <w:rsid w:val="00142319"/>
    <w:rsid w:val="00142326"/>
    <w:rsid w:val="0014245A"/>
    <w:rsid w:val="001424DC"/>
    <w:rsid w:val="001426BF"/>
    <w:rsid w:val="0014280A"/>
    <w:rsid w:val="001428A7"/>
    <w:rsid w:val="00142ACD"/>
    <w:rsid w:val="00142B24"/>
    <w:rsid w:val="00142D2A"/>
    <w:rsid w:val="00142E7B"/>
    <w:rsid w:val="00142F8E"/>
    <w:rsid w:val="00143223"/>
    <w:rsid w:val="001432A3"/>
    <w:rsid w:val="001438CA"/>
    <w:rsid w:val="00143966"/>
    <w:rsid w:val="00143B63"/>
    <w:rsid w:val="00143DEA"/>
    <w:rsid w:val="00144117"/>
    <w:rsid w:val="00144626"/>
    <w:rsid w:val="00144680"/>
    <w:rsid w:val="00144848"/>
    <w:rsid w:val="00144B7F"/>
    <w:rsid w:val="00144CF5"/>
    <w:rsid w:val="00144D9D"/>
    <w:rsid w:val="00144EB1"/>
    <w:rsid w:val="001452D8"/>
    <w:rsid w:val="00145A0C"/>
    <w:rsid w:val="00145CF3"/>
    <w:rsid w:val="00145D83"/>
    <w:rsid w:val="00145EB0"/>
    <w:rsid w:val="001460A2"/>
    <w:rsid w:val="0014649B"/>
    <w:rsid w:val="0014676F"/>
    <w:rsid w:val="001469AF"/>
    <w:rsid w:val="00146C3A"/>
    <w:rsid w:val="00146DF0"/>
    <w:rsid w:val="00147231"/>
    <w:rsid w:val="001477AE"/>
    <w:rsid w:val="00147912"/>
    <w:rsid w:val="0014799F"/>
    <w:rsid w:val="00147F06"/>
    <w:rsid w:val="00150498"/>
    <w:rsid w:val="00150A1E"/>
    <w:rsid w:val="00150B9D"/>
    <w:rsid w:val="00151003"/>
    <w:rsid w:val="001510D2"/>
    <w:rsid w:val="0015131F"/>
    <w:rsid w:val="0015150B"/>
    <w:rsid w:val="001515B1"/>
    <w:rsid w:val="00151A81"/>
    <w:rsid w:val="00151BAC"/>
    <w:rsid w:val="00152189"/>
    <w:rsid w:val="001521FE"/>
    <w:rsid w:val="001522DB"/>
    <w:rsid w:val="001528C8"/>
    <w:rsid w:val="00153427"/>
    <w:rsid w:val="00153B8A"/>
    <w:rsid w:val="00153CF2"/>
    <w:rsid w:val="00153FBB"/>
    <w:rsid w:val="001540B9"/>
    <w:rsid w:val="0015410F"/>
    <w:rsid w:val="00154290"/>
    <w:rsid w:val="0015440A"/>
    <w:rsid w:val="001545B1"/>
    <w:rsid w:val="0015463C"/>
    <w:rsid w:val="001547A6"/>
    <w:rsid w:val="001548ED"/>
    <w:rsid w:val="00154B2F"/>
    <w:rsid w:val="00154C6C"/>
    <w:rsid w:val="00154CA8"/>
    <w:rsid w:val="00154EA7"/>
    <w:rsid w:val="00154F54"/>
    <w:rsid w:val="0015542A"/>
    <w:rsid w:val="00155549"/>
    <w:rsid w:val="00155661"/>
    <w:rsid w:val="001562DD"/>
    <w:rsid w:val="00156520"/>
    <w:rsid w:val="001566CF"/>
    <w:rsid w:val="001566D6"/>
    <w:rsid w:val="00156780"/>
    <w:rsid w:val="0015696D"/>
    <w:rsid w:val="00156AFB"/>
    <w:rsid w:val="00156B01"/>
    <w:rsid w:val="00156DF1"/>
    <w:rsid w:val="00156DFD"/>
    <w:rsid w:val="00156F6E"/>
    <w:rsid w:val="00156FEA"/>
    <w:rsid w:val="0015737F"/>
    <w:rsid w:val="0015757C"/>
    <w:rsid w:val="001577C9"/>
    <w:rsid w:val="001579E7"/>
    <w:rsid w:val="00157C80"/>
    <w:rsid w:val="00160435"/>
    <w:rsid w:val="001609D7"/>
    <w:rsid w:val="00160B6B"/>
    <w:rsid w:val="00160C8B"/>
    <w:rsid w:val="00160D9E"/>
    <w:rsid w:val="0016127A"/>
    <w:rsid w:val="001614A7"/>
    <w:rsid w:val="001617A3"/>
    <w:rsid w:val="001617D3"/>
    <w:rsid w:val="00161990"/>
    <w:rsid w:val="0016214F"/>
    <w:rsid w:val="001624A3"/>
    <w:rsid w:val="00162A12"/>
    <w:rsid w:val="00162C41"/>
    <w:rsid w:val="00162C6C"/>
    <w:rsid w:val="00162E15"/>
    <w:rsid w:val="0016319D"/>
    <w:rsid w:val="0016322D"/>
    <w:rsid w:val="0016339A"/>
    <w:rsid w:val="001636B3"/>
    <w:rsid w:val="00163A15"/>
    <w:rsid w:val="00163A1E"/>
    <w:rsid w:val="00163A26"/>
    <w:rsid w:val="00163B91"/>
    <w:rsid w:val="00163E0D"/>
    <w:rsid w:val="00163F4F"/>
    <w:rsid w:val="00164126"/>
    <w:rsid w:val="0016412E"/>
    <w:rsid w:val="001641BF"/>
    <w:rsid w:val="0016428F"/>
    <w:rsid w:val="0016429D"/>
    <w:rsid w:val="00164C64"/>
    <w:rsid w:val="00164D68"/>
    <w:rsid w:val="00164ED8"/>
    <w:rsid w:val="00165349"/>
    <w:rsid w:val="0016548B"/>
    <w:rsid w:val="00165531"/>
    <w:rsid w:val="00165906"/>
    <w:rsid w:val="00165908"/>
    <w:rsid w:val="001659BA"/>
    <w:rsid w:val="00165EA8"/>
    <w:rsid w:val="0016638D"/>
    <w:rsid w:val="00166571"/>
    <w:rsid w:val="00166855"/>
    <w:rsid w:val="00166AC6"/>
    <w:rsid w:val="00166BFB"/>
    <w:rsid w:val="00166D2B"/>
    <w:rsid w:val="00166DEF"/>
    <w:rsid w:val="001674D5"/>
    <w:rsid w:val="00167E22"/>
    <w:rsid w:val="00170034"/>
    <w:rsid w:val="00170713"/>
    <w:rsid w:val="00170741"/>
    <w:rsid w:val="00170D38"/>
    <w:rsid w:val="00170F78"/>
    <w:rsid w:val="0017110F"/>
    <w:rsid w:val="001711FC"/>
    <w:rsid w:val="001715E1"/>
    <w:rsid w:val="00171940"/>
    <w:rsid w:val="00171A98"/>
    <w:rsid w:val="00171B1A"/>
    <w:rsid w:val="001723C8"/>
    <w:rsid w:val="001724E8"/>
    <w:rsid w:val="001726AD"/>
    <w:rsid w:val="0017297E"/>
    <w:rsid w:val="00172B14"/>
    <w:rsid w:val="00172D05"/>
    <w:rsid w:val="00172F32"/>
    <w:rsid w:val="00172F5C"/>
    <w:rsid w:val="00172FD0"/>
    <w:rsid w:val="0017363C"/>
    <w:rsid w:val="001739C2"/>
    <w:rsid w:val="001739CB"/>
    <w:rsid w:val="00173BBB"/>
    <w:rsid w:val="00173F28"/>
    <w:rsid w:val="00173F74"/>
    <w:rsid w:val="00174046"/>
    <w:rsid w:val="00174345"/>
    <w:rsid w:val="00174467"/>
    <w:rsid w:val="001747F5"/>
    <w:rsid w:val="00174BAE"/>
    <w:rsid w:val="00174C1E"/>
    <w:rsid w:val="00174E29"/>
    <w:rsid w:val="001751D0"/>
    <w:rsid w:val="001752DC"/>
    <w:rsid w:val="001753E0"/>
    <w:rsid w:val="001754CD"/>
    <w:rsid w:val="00175542"/>
    <w:rsid w:val="0017558D"/>
    <w:rsid w:val="0017569E"/>
    <w:rsid w:val="001756FE"/>
    <w:rsid w:val="0017588C"/>
    <w:rsid w:val="00175C04"/>
    <w:rsid w:val="001762E0"/>
    <w:rsid w:val="0017635C"/>
    <w:rsid w:val="00176479"/>
    <w:rsid w:val="001764AB"/>
    <w:rsid w:val="001765F2"/>
    <w:rsid w:val="00176D53"/>
    <w:rsid w:val="00176FF9"/>
    <w:rsid w:val="001771AE"/>
    <w:rsid w:val="0017722B"/>
    <w:rsid w:val="001772F3"/>
    <w:rsid w:val="001775F5"/>
    <w:rsid w:val="001777DA"/>
    <w:rsid w:val="00177C82"/>
    <w:rsid w:val="00177C99"/>
    <w:rsid w:val="00177F8B"/>
    <w:rsid w:val="00180107"/>
    <w:rsid w:val="0018012A"/>
    <w:rsid w:val="001805E1"/>
    <w:rsid w:val="0018077D"/>
    <w:rsid w:val="00180DB6"/>
    <w:rsid w:val="00180EC3"/>
    <w:rsid w:val="00181EE9"/>
    <w:rsid w:val="0018228B"/>
    <w:rsid w:val="00182355"/>
    <w:rsid w:val="00182458"/>
    <w:rsid w:val="00182609"/>
    <w:rsid w:val="00182A40"/>
    <w:rsid w:val="00182F80"/>
    <w:rsid w:val="001830F3"/>
    <w:rsid w:val="00183146"/>
    <w:rsid w:val="001838A2"/>
    <w:rsid w:val="00183D88"/>
    <w:rsid w:val="00183E8D"/>
    <w:rsid w:val="00184013"/>
    <w:rsid w:val="00184058"/>
    <w:rsid w:val="001841D8"/>
    <w:rsid w:val="00184321"/>
    <w:rsid w:val="00184351"/>
    <w:rsid w:val="001847F8"/>
    <w:rsid w:val="001848AD"/>
    <w:rsid w:val="00184AB4"/>
    <w:rsid w:val="00184B9D"/>
    <w:rsid w:val="001858C8"/>
    <w:rsid w:val="00185AE9"/>
    <w:rsid w:val="00185CEB"/>
    <w:rsid w:val="00185D27"/>
    <w:rsid w:val="00185F49"/>
    <w:rsid w:val="00186643"/>
    <w:rsid w:val="001868BF"/>
    <w:rsid w:val="0018704E"/>
    <w:rsid w:val="001870D5"/>
    <w:rsid w:val="001872F4"/>
    <w:rsid w:val="0018732D"/>
    <w:rsid w:val="00187A13"/>
    <w:rsid w:val="00187B9A"/>
    <w:rsid w:val="00187CA1"/>
    <w:rsid w:val="00187D1C"/>
    <w:rsid w:val="0019020E"/>
    <w:rsid w:val="00190435"/>
    <w:rsid w:val="001904BA"/>
    <w:rsid w:val="00190A5B"/>
    <w:rsid w:val="00190A64"/>
    <w:rsid w:val="00190C2A"/>
    <w:rsid w:val="00190D63"/>
    <w:rsid w:val="001913A4"/>
    <w:rsid w:val="00191486"/>
    <w:rsid w:val="001914A8"/>
    <w:rsid w:val="0019163B"/>
    <w:rsid w:val="0019190A"/>
    <w:rsid w:val="00191C9E"/>
    <w:rsid w:val="00191E49"/>
    <w:rsid w:val="00191EBE"/>
    <w:rsid w:val="00191F18"/>
    <w:rsid w:val="0019253E"/>
    <w:rsid w:val="00192543"/>
    <w:rsid w:val="001925A7"/>
    <w:rsid w:val="001926B9"/>
    <w:rsid w:val="00192721"/>
    <w:rsid w:val="00192822"/>
    <w:rsid w:val="00192A83"/>
    <w:rsid w:val="00192C17"/>
    <w:rsid w:val="00193252"/>
    <w:rsid w:val="0019327E"/>
    <w:rsid w:val="001933CA"/>
    <w:rsid w:val="00193521"/>
    <w:rsid w:val="00193762"/>
    <w:rsid w:val="0019376F"/>
    <w:rsid w:val="00193C0E"/>
    <w:rsid w:val="001941B2"/>
    <w:rsid w:val="0019439D"/>
    <w:rsid w:val="001943DE"/>
    <w:rsid w:val="00194943"/>
    <w:rsid w:val="00194AFA"/>
    <w:rsid w:val="00194CE3"/>
    <w:rsid w:val="00194ED1"/>
    <w:rsid w:val="00194FB8"/>
    <w:rsid w:val="001955F7"/>
    <w:rsid w:val="001959CD"/>
    <w:rsid w:val="00195A8B"/>
    <w:rsid w:val="00195ABA"/>
    <w:rsid w:val="00195B12"/>
    <w:rsid w:val="0019606E"/>
    <w:rsid w:val="001963B8"/>
    <w:rsid w:val="00196545"/>
    <w:rsid w:val="001965E2"/>
    <w:rsid w:val="001967A5"/>
    <w:rsid w:val="0019687B"/>
    <w:rsid w:val="00196971"/>
    <w:rsid w:val="00196A8B"/>
    <w:rsid w:val="00196E09"/>
    <w:rsid w:val="00196EB6"/>
    <w:rsid w:val="001975AD"/>
    <w:rsid w:val="0019760C"/>
    <w:rsid w:val="00197872"/>
    <w:rsid w:val="00197D08"/>
    <w:rsid w:val="00197D29"/>
    <w:rsid w:val="001A0114"/>
    <w:rsid w:val="001A036B"/>
    <w:rsid w:val="001A06BC"/>
    <w:rsid w:val="001A06CF"/>
    <w:rsid w:val="001A0916"/>
    <w:rsid w:val="001A0B31"/>
    <w:rsid w:val="001A0C26"/>
    <w:rsid w:val="001A0E52"/>
    <w:rsid w:val="001A11A7"/>
    <w:rsid w:val="001A1693"/>
    <w:rsid w:val="001A17EC"/>
    <w:rsid w:val="001A1E1B"/>
    <w:rsid w:val="001A214F"/>
    <w:rsid w:val="001A2A29"/>
    <w:rsid w:val="001A2D31"/>
    <w:rsid w:val="001A32CA"/>
    <w:rsid w:val="001A3349"/>
    <w:rsid w:val="001A3466"/>
    <w:rsid w:val="001A35D3"/>
    <w:rsid w:val="001A361F"/>
    <w:rsid w:val="001A39A3"/>
    <w:rsid w:val="001A39AA"/>
    <w:rsid w:val="001A3C05"/>
    <w:rsid w:val="001A3C68"/>
    <w:rsid w:val="001A44C4"/>
    <w:rsid w:val="001A4823"/>
    <w:rsid w:val="001A48EF"/>
    <w:rsid w:val="001A4EF0"/>
    <w:rsid w:val="001A505B"/>
    <w:rsid w:val="001A5153"/>
    <w:rsid w:val="001A522D"/>
    <w:rsid w:val="001A593B"/>
    <w:rsid w:val="001A5CB8"/>
    <w:rsid w:val="001A5FFD"/>
    <w:rsid w:val="001A6475"/>
    <w:rsid w:val="001A66CD"/>
    <w:rsid w:val="001A680D"/>
    <w:rsid w:val="001A6871"/>
    <w:rsid w:val="001A6A40"/>
    <w:rsid w:val="001A6B2B"/>
    <w:rsid w:val="001A6C2F"/>
    <w:rsid w:val="001A704A"/>
    <w:rsid w:val="001A72EA"/>
    <w:rsid w:val="001A77F0"/>
    <w:rsid w:val="001A7CA0"/>
    <w:rsid w:val="001B01BF"/>
    <w:rsid w:val="001B02B1"/>
    <w:rsid w:val="001B0900"/>
    <w:rsid w:val="001B1306"/>
    <w:rsid w:val="001B1833"/>
    <w:rsid w:val="001B1E5F"/>
    <w:rsid w:val="001B1EC8"/>
    <w:rsid w:val="001B1F17"/>
    <w:rsid w:val="001B2BD4"/>
    <w:rsid w:val="001B2E32"/>
    <w:rsid w:val="001B2E63"/>
    <w:rsid w:val="001B303E"/>
    <w:rsid w:val="001B36F1"/>
    <w:rsid w:val="001B3AEA"/>
    <w:rsid w:val="001B3B6F"/>
    <w:rsid w:val="001B3DB8"/>
    <w:rsid w:val="001B4113"/>
    <w:rsid w:val="001B4743"/>
    <w:rsid w:val="001B4DE0"/>
    <w:rsid w:val="001B5058"/>
    <w:rsid w:val="001B53EB"/>
    <w:rsid w:val="001B569C"/>
    <w:rsid w:val="001B595A"/>
    <w:rsid w:val="001B59C3"/>
    <w:rsid w:val="001B5BC9"/>
    <w:rsid w:val="001B5C08"/>
    <w:rsid w:val="001B5D02"/>
    <w:rsid w:val="001B631B"/>
    <w:rsid w:val="001B63A6"/>
    <w:rsid w:val="001B6467"/>
    <w:rsid w:val="001B649F"/>
    <w:rsid w:val="001B64D4"/>
    <w:rsid w:val="001B6ABF"/>
    <w:rsid w:val="001B6E31"/>
    <w:rsid w:val="001B6F0E"/>
    <w:rsid w:val="001B738C"/>
    <w:rsid w:val="001C04F0"/>
    <w:rsid w:val="001C08CC"/>
    <w:rsid w:val="001C1093"/>
    <w:rsid w:val="001C109F"/>
    <w:rsid w:val="001C12DF"/>
    <w:rsid w:val="001C12FB"/>
    <w:rsid w:val="001C1E69"/>
    <w:rsid w:val="001C1E94"/>
    <w:rsid w:val="001C1F25"/>
    <w:rsid w:val="001C2178"/>
    <w:rsid w:val="001C22CE"/>
    <w:rsid w:val="001C24ED"/>
    <w:rsid w:val="001C25E1"/>
    <w:rsid w:val="001C2992"/>
    <w:rsid w:val="001C29BC"/>
    <w:rsid w:val="001C2B6A"/>
    <w:rsid w:val="001C2C85"/>
    <w:rsid w:val="001C2DC4"/>
    <w:rsid w:val="001C3297"/>
    <w:rsid w:val="001C3873"/>
    <w:rsid w:val="001C3B9F"/>
    <w:rsid w:val="001C44A4"/>
    <w:rsid w:val="001C48D6"/>
    <w:rsid w:val="001C4CF8"/>
    <w:rsid w:val="001C4D5A"/>
    <w:rsid w:val="001C4EB7"/>
    <w:rsid w:val="001C4F4C"/>
    <w:rsid w:val="001C5006"/>
    <w:rsid w:val="001C51EC"/>
    <w:rsid w:val="001C54F8"/>
    <w:rsid w:val="001C573C"/>
    <w:rsid w:val="001C5A4C"/>
    <w:rsid w:val="001C5B8F"/>
    <w:rsid w:val="001C5D4E"/>
    <w:rsid w:val="001C5DAA"/>
    <w:rsid w:val="001C5E17"/>
    <w:rsid w:val="001C5E5C"/>
    <w:rsid w:val="001C5E8A"/>
    <w:rsid w:val="001C60D7"/>
    <w:rsid w:val="001C654E"/>
    <w:rsid w:val="001C6710"/>
    <w:rsid w:val="001C69B2"/>
    <w:rsid w:val="001C6AB1"/>
    <w:rsid w:val="001C6B09"/>
    <w:rsid w:val="001C6D14"/>
    <w:rsid w:val="001C6E1A"/>
    <w:rsid w:val="001C7361"/>
    <w:rsid w:val="001C74B6"/>
    <w:rsid w:val="001C74F0"/>
    <w:rsid w:val="001C7503"/>
    <w:rsid w:val="001C7778"/>
    <w:rsid w:val="001C77D2"/>
    <w:rsid w:val="001C7CD2"/>
    <w:rsid w:val="001D032C"/>
    <w:rsid w:val="001D0472"/>
    <w:rsid w:val="001D0533"/>
    <w:rsid w:val="001D081F"/>
    <w:rsid w:val="001D0BCF"/>
    <w:rsid w:val="001D0CBA"/>
    <w:rsid w:val="001D0E3C"/>
    <w:rsid w:val="001D112A"/>
    <w:rsid w:val="001D12B1"/>
    <w:rsid w:val="001D1702"/>
    <w:rsid w:val="001D1A14"/>
    <w:rsid w:val="001D1A19"/>
    <w:rsid w:val="001D1BE9"/>
    <w:rsid w:val="001D213A"/>
    <w:rsid w:val="001D26B8"/>
    <w:rsid w:val="001D2952"/>
    <w:rsid w:val="001D2D41"/>
    <w:rsid w:val="001D301E"/>
    <w:rsid w:val="001D3262"/>
    <w:rsid w:val="001D335E"/>
    <w:rsid w:val="001D368E"/>
    <w:rsid w:val="001D3789"/>
    <w:rsid w:val="001D39C1"/>
    <w:rsid w:val="001D3A1D"/>
    <w:rsid w:val="001D3EE6"/>
    <w:rsid w:val="001D4070"/>
    <w:rsid w:val="001D4288"/>
    <w:rsid w:val="001D45E4"/>
    <w:rsid w:val="001D4771"/>
    <w:rsid w:val="001D48B1"/>
    <w:rsid w:val="001D4B8D"/>
    <w:rsid w:val="001D4C13"/>
    <w:rsid w:val="001D5847"/>
    <w:rsid w:val="001D5989"/>
    <w:rsid w:val="001D5A0B"/>
    <w:rsid w:val="001D5CA4"/>
    <w:rsid w:val="001D5D02"/>
    <w:rsid w:val="001D64CA"/>
    <w:rsid w:val="001D6D41"/>
    <w:rsid w:val="001D7412"/>
    <w:rsid w:val="001D777D"/>
    <w:rsid w:val="001D79B4"/>
    <w:rsid w:val="001D7A1E"/>
    <w:rsid w:val="001D7AAC"/>
    <w:rsid w:val="001D7AC9"/>
    <w:rsid w:val="001D7B57"/>
    <w:rsid w:val="001D7D2D"/>
    <w:rsid w:val="001D7DAF"/>
    <w:rsid w:val="001D7E25"/>
    <w:rsid w:val="001E042C"/>
    <w:rsid w:val="001E05DB"/>
    <w:rsid w:val="001E0761"/>
    <w:rsid w:val="001E0C3C"/>
    <w:rsid w:val="001E0F02"/>
    <w:rsid w:val="001E15B9"/>
    <w:rsid w:val="001E19F1"/>
    <w:rsid w:val="001E1E32"/>
    <w:rsid w:val="001E1E84"/>
    <w:rsid w:val="001E1FE3"/>
    <w:rsid w:val="001E200F"/>
    <w:rsid w:val="001E21F3"/>
    <w:rsid w:val="001E24B6"/>
    <w:rsid w:val="001E27F0"/>
    <w:rsid w:val="001E2C7F"/>
    <w:rsid w:val="001E2EAC"/>
    <w:rsid w:val="001E3414"/>
    <w:rsid w:val="001E3598"/>
    <w:rsid w:val="001E35BC"/>
    <w:rsid w:val="001E39A7"/>
    <w:rsid w:val="001E3BDB"/>
    <w:rsid w:val="001E3EB3"/>
    <w:rsid w:val="001E41DD"/>
    <w:rsid w:val="001E4417"/>
    <w:rsid w:val="001E48E4"/>
    <w:rsid w:val="001E4F9A"/>
    <w:rsid w:val="001E4F9B"/>
    <w:rsid w:val="001E52B6"/>
    <w:rsid w:val="001E559C"/>
    <w:rsid w:val="001E5B52"/>
    <w:rsid w:val="001E5BE0"/>
    <w:rsid w:val="001E5C55"/>
    <w:rsid w:val="001E5D82"/>
    <w:rsid w:val="001E5DA9"/>
    <w:rsid w:val="001E61EF"/>
    <w:rsid w:val="001E626F"/>
    <w:rsid w:val="001E6C66"/>
    <w:rsid w:val="001E6E64"/>
    <w:rsid w:val="001E6E9F"/>
    <w:rsid w:val="001E6F8F"/>
    <w:rsid w:val="001E6FA6"/>
    <w:rsid w:val="001E7094"/>
    <w:rsid w:val="001E71EF"/>
    <w:rsid w:val="001E78C9"/>
    <w:rsid w:val="001E7A4B"/>
    <w:rsid w:val="001E7DBC"/>
    <w:rsid w:val="001F024D"/>
    <w:rsid w:val="001F02E0"/>
    <w:rsid w:val="001F039D"/>
    <w:rsid w:val="001F03D2"/>
    <w:rsid w:val="001F07A2"/>
    <w:rsid w:val="001F0A91"/>
    <w:rsid w:val="001F1085"/>
    <w:rsid w:val="001F11AC"/>
    <w:rsid w:val="001F16CB"/>
    <w:rsid w:val="001F1CF0"/>
    <w:rsid w:val="001F1E43"/>
    <w:rsid w:val="001F1EEA"/>
    <w:rsid w:val="001F1F15"/>
    <w:rsid w:val="001F220C"/>
    <w:rsid w:val="001F2403"/>
    <w:rsid w:val="001F2512"/>
    <w:rsid w:val="001F26CE"/>
    <w:rsid w:val="001F27B7"/>
    <w:rsid w:val="001F2AA6"/>
    <w:rsid w:val="001F2DDD"/>
    <w:rsid w:val="001F2FD7"/>
    <w:rsid w:val="001F30F3"/>
    <w:rsid w:val="001F3156"/>
    <w:rsid w:val="001F39FE"/>
    <w:rsid w:val="001F3A06"/>
    <w:rsid w:val="001F3AEC"/>
    <w:rsid w:val="001F3DA0"/>
    <w:rsid w:val="001F493B"/>
    <w:rsid w:val="001F4944"/>
    <w:rsid w:val="001F4B14"/>
    <w:rsid w:val="001F4D07"/>
    <w:rsid w:val="001F4EA6"/>
    <w:rsid w:val="001F5179"/>
    <w:rsid w:val="001F525A"/>
    <w:rsid w:val="001F5449"/>
    <w:rsid w:val="001F583B"/>
    <w:rsid w:val="001F59C1"/>
    <w:rsid w:val="001F6042"/>
    <w:rsid w:val="001F6452"/>
    <w:rsid w:val="001F6630"/>
    <w:rsid w:val="001F6648"/>
    <w:rsid w:val="001F6B74"/>
    <w:rsid w:val="001F6CF4"/>
    <w:rsid w:val="001F709C"/>
    <w:rsid w:val="001F7115"/>
    <w:rsid w:val="001F7D0C"/>
    <w:rsid w:val="001F7E4F"/>
    <w:rsid w:val="00200147"/>
    <w:rsid w:val="0020015E"/>
    <w:rsid w:val="0020029F"/>
    <w:rsid w:val="002005BA"/>
    <w:rsid w:val="00200667"/>
    <w:rsid w:val="00200756"/>
    <w:rsid w:val="00200B7C"/>
    <w:rsid w:val="00200BEB"/>
    <w:rsid w:val="00200FC1"/>
    <w:rsid w:val="00201181"/>
    <w:rsid w:val="0020120E"/>
    <w:rsid w:val="00201264"/>
    <w:rsid w:val="002016A2"/>
    <w:rsid w:val="002016C2"/>
    <w:rsid w:val="00201A1F"/>
    <w:rsid w:val="00201A9C"/>
    <w:rsid w:val="00201C8D"/>
    <w:rsid w:val="00201E10"/>
    <w:rsid w:val="002020C9"/>
    <w:rsid w:val="00202164"/>
    <w:rsid w:val="0020224F"/>
    <w:rsid w:val="002028A3"/>
    <w:rsid w:val="0020292F"/>
    <w:rsid w:val="0020297E"/>
    <w:rsid w:val="00202E71"/>
    <w:rsid w:val="0020302F"/>
    <w:rsid w:val="002033C0"/>
    <w:rsid w:val="0020368A"/>
    <w:rsid w:val="00203AB9"/>
    <w:rsid w:val="00203D16"/>
    <w:rsid w:val="00204279"/>
    <w:rsid w:val="0020433C"/>
    <w:rsid w:val="00204350"/>
    <w:rsid w:val="00204462"/>
    <w:rsid w:val="002048FB"/>
    <w:rsid w:val="0020490E"/>
    <w:rsid w:val="00204A56"/>
    <w:rsid w:val="00204B1D"/>
    <w:rsid w:val="00204B23"/>
    <w:rsid w:val="00204F24"/>
    <w:rsid w:val="00204FE6"/>
    <w:rsid w:val="00205022"/>
    <w:rsid w:val="0020503F"/>
    <w:rsid w:val="002057C0"/>
    <w:rsid w:val="0020582E"/>
    <w:rsid w:val="002058BE"/>
    <w:rsid w:val="00205AC7"/>
    <w:rsid w:val="00205C7E"/>
    <w:rsid w:val="00205C86"/>
    <w:rsid w:val="00205D3E"/>
    <w:rsid w:val="00205FE3"/>
    <w:rsid w:val="0020612D"/>
    <w:rsid w:val="00206223"/>
    <w:rsid w:val="002065BA"/>
    <w:rsid w:val="002066C8"/>
    <w:rsid w:val="00206787"/>
    <w:rsid w:val="00206E97"/>
    <w:rsid w:val="00206ECA"/>
    <w:rsid w:val="00206F2F"/>
    <w:rsid w:val="0020747D"/>
    <w:rsid w:val="002078CA"/>
    <w:rsid w:val="00207906"/>
    <w:rsid w:val="00207AC5"/>
    <w:rsid w:val="00207AC9"/>
    <w:rsid w:val="00207D28"/>
    <w:rsid w:val="0021004B"/>
    <w:rsid w:val="00210249"/>
    <w:rsid w:val="002102EF"/>
    <w:rsid w:val="002105ED"/>
    <w:rsid w:val="00210652"/>
    <w:rsid w:val="00210C96"/>
    <w:rsid w:val="00210E57"/>
    <w:rsid w:val="002110D6"/>
    <w:rsid w:val="0021151A"/>
    <w:rsid w:val="002115A6"/>
    <w:rsid w:val="0021164D"/>
    <w:rsid w:val="0021172E"/>
    <w:rsid w:val="00211B3D"/>
    <w:rsid w:val="00211D09"/>
    <w:rsid w:val="00211DF1"/>
    <w:rsid w:val="00211F65"/>
    <w:rsid w:val="00211FBC"/>
    <w:rsid w:val="002123A2"/>
    <w:rsid w:val="002127EC"/>
    <w:rsid w:val="0021281B"/>
    <w:rsid w:val="0021291F"/>
    <w:rsid w:val="00212B6D"/>
    <w:rsid w:val="0021305B"/>
    <w:rsid w:val="0021343A"/>
    <w:rsid w:val="00213502"/>
    <w:rsid w:val="0021370F"/>
    <w:rsid w:val="00213732"/>
    <w:rsid w:val="00213BCE"/>
    <w:rsid w:val="00213E28"/>
    <w:rsid w:val="00214AC5"/>
    <w:rsid w:val="00214D86"/>
    <w:rsid w:val="00214E70"/>
    <w:rsid w:val="00214F6F"/>
    <w:rsid w:val="002150D4"/>
    <w:rsid w:val="00215257"/>
    <w:rsid w:val="00215603"/>
    <w:rsid w:val="0021561A"/>
    <w:rsid w:val="00215758"/>
    <w:rsid w:val="002159ED"/>
    <w:rsid w:val="00215B58"/>
    <w:rsid w:val="00215BD3"/>
    <w:rsid w:val="00215D96"/>
    <w:rsid w:val="00215F2D"/>
    <w:rsid w:val="00215FB6"/>
    <w:rsid w:val="00216041"/>
    <w:rsid w:val="002161D4"/>
    <w:rsid w:val="0021630E"/>
    <w:rsid w:val="00216499"/>
    <w:rsid w:val="002164F9"/>
    <w:rsid w:val="00216C38"/>
    <w:rsid w:val="00216D6C"/>
    <w:rsid w:val="00216DC7"/>
    <w:rsid w:val="00216E49"/>
    <w:rsid w:val="00216E64"/>
    <w:rsid w:val="002171C4"/>
    <w:rsid w:val="002172DF"/>
    <w:rsid w:val="002174F6"/>
    <w:rsid w:val="00217563"/>
    <w:rsid w:val="0021787A"/>
    <w:rsid w:val="00217BCD"/>
    <w:rsid w:val="00217D8D"/>
    <w:rsid w:val="0022046C"/>
    <w:rsid w:val="0022073A"/>
    <w:rsid w:val="00220796"/>
    <w:rsid w:val="00221398"/>
    <w:rsid w:val="00221869"/>
    <w:rsid w:val="00221C93"/>
    <w:rsid w:val="00221E81"/>
    <w:rsid w:val="002220A9"/>
    <w:rsid w:val="002229A2"/>
    <w:rsid w:val="00222ACD"/>
    <w:rsid w:val="00222C6C"/>
    <w:rsid w:val="00222C75"/>
    <w:rsid w:val="00222D57"/>
    <w:rsid w:val="00222F94"/>
    <w:rsid w:val="00222FFD"/>
    <w:rsid w:val="00223288"/>
    <w:rsid w:val="00223374"/>
    <w:rsid w:val="00223540"/>
    <w:rsid w:val="00223A78"/>
    <w:rsid w:val="00223B01"/>
    <w:rsid w:val="00223BA4"/>
    <w:rsid w:val="002246AC"/>
    <w:rsid w:val="00224C3C"/>
    <w:rsid w:val="00224C46"/>
    <w:rsid w:val="00224D3F"/>
    <w:rsid w:val="00224E03"/>
    <w:rsid w:val="0022567F"/>
    <w:rsid w:val="00225AED"/>
    <w:rsid w:val="00225CD9"/>
    <w:rsid w:val="00225D49"/>
    <w:rsid w:val="00225D52"/>
    <w:rsid w:val="002261F6"/>
    <w:rsid w:val="00226271"/>
    <w:rsid w:val="00226894"/>
    <w:rsid w:val="00226AD5"/>
    <w:rsid w:val="00226F12"/>
    <w:rsid w:val="0022715F"/>
    <w:rsid w:val="002272FD"/>
    <w:rsid w:val="00227345"/>
    <w:rsid w:val="00227CCB"/>
    <w:rsid w:val="00227EAF"/>
    <w:rsid w:val="00227EF8"/>
    <w:rsid w:val="002300C5"/>
    <w:rsid w:val="002301F2"/>
    <w:rsid w:val="0023033F"/>
    <w:rsid w:val="00230575"/>
    <w:rsid w:val="002305ED"/>
    <w:rsid w:val="0023067E"/>
    <w:rsid w:val="0023096E"/>
    <w:rsid w:val="00230995"/>
    <w:rsid w:val="00230A1C"/>
    <w:rsid w:val="00230EAA"/>
    <w:rsid w:val="00230EF5"/>
    <w:rsid w:val="00230F76"/>
    <w:rsid w:val="0023123A"/>
    <w:rsid w:val="00231266"/>
    <w:rsid w:val="00231270"/>
    <w:rsid w:val="0023132E"/>
    <w:rsid w:val="0023149D"/>
    <w:rsid w:val="002314DD"/>
    <w:rsid w:val="00231AC7"/>
    <w:rsid w:val="00231B96"/>
    <w:rsid w:val="00231C37"/>
    <w:rsid w:val="00232E94"/>
    <w:rsid w:val="00232FAC"/>
    <w:rsid w:val="00233384"/>
    <w:rsid w:val="00233BD5"/>
    <w:rsid w:val="00233C81"/>
    <w:rsid w:val="00233DBF"/>
    <w:rsid w:val="0023417E"/>
    <w:rsid w:val="0023418F"/>
    <w:rsid w:val="0023431A"/>
    <w:rsid w:val="00234420"/>
    <w:rsid w:val="0023471D"/>
    <w:rsid w:val="00234DF4"/>
    <w:rsid w:val="0023507C"/>
    <w:rsid w:val="0023516A"/>
    <w:rsid w:val="002352C3"/>
    <w:rsid w:val="0023570B"/>
    <w:rsid w:val="00235753"/>
    <w:rsid w:val="00235998"/>
    <w:rsid w:val="00235FE1"/>
    <w:rsid w:val="002361AD"/>
    <w:rsid w:val="0023630E"/>
    <w:rsid w:val="00236489"/>
    <w:rsid w:val="002366C9"/>
    <w:rsid w:val="00236852"/>
    <w:rsid w:val="00236A42"/>
    <w:rsid w:val="00236C28"/>
    <w:rsid w:val="002371F6"/>
    <w:rsid w:val="002372C1"/>
    <w:rsid w:val="0023763F"/>
    <w:rsid w:val="002377B0"/>
    <w:rsid w:val="0023792C"/>
    <w:rsid w:val="002379A1"/>
    <w:rsid w:val="00237B40"/>
    <w:rsid w:val="00237EF5"/>
    <w:rsid w:val="00240114"/>
    <w:rsid w:val="0024042B"/>
    <w:rsid w:val="0024054D"/>
    <w:rsid w:val="002406BF"/>
    <w:rsid w:val="00240753"/>
    <w:rsid w:val="00240A3E"/>
    <w:rsid w:val="00240B0F"/>
    <w:rsid w:val="00240C15"/>
    <w:rsid w:val="0024120C"/>
    <w:rsid w:val="002415FB"/>
    <w:rsid w:val="00241727"/>
    <w:rsid w:val="00241825"/>
    <w:rsid w:val="00241878"/>
    <w:rsid w:val="00241CC5"/>
    <w:rsid w:val="00241FC6"/>
    <w:rsid w:val="0024237A"/>
    <w:rsid w:val="00242D79"/>
    <w:rsid w:val="002431A0"/>
    <w:rsid w:val="0024323E"/>
    <w:rsid w:val="00243480"/>
    <w:rsid w:val="00243789"/>
    <w:rsid w:val="00243C0D"/>
    <w:rsid w:val="00243D2D"/>
    <w:rsid w:val="0024430F"/>
    <w:rsid w:val="00244486"/>
    <w:rsid w:val="00244883"/>
    <w:rsid w:val="00244952"/>
    <w:rsid w:val="00245151"/>
    <w:rsid w:val="00245414"/>
    <w:rsid w:val="00245489"/>
    <w:rsid w:val="00245694"/>
    <w:rsid w:val="00245768"/>
    <w:rsid w:val="00245968"/>
    <w:rsid w:val="00245A46"/>
    <w:rsid w:val="00245C05"/>
    <w:rsid w:val="002460BA"/>
    <w:rsid w:val="00246120"/>
    <w:rsid w:val="00246744"/>
    <w:rsid w:val="00246814"/>
    <w:rsid w:val="00247185"/>
    <w:rsid w:val="002471B8"/>
    <w:rsid w:val="002472E4"/>
    <w:rsid w:val="002472E7"/>
    <w:rsid w:val="0024757A"/>
    <w:rsid w:val="002478A4"/>
    <w:rsid w:val="002478E6"/>
    <w:rsid w:val="002479F1"/>
    <w:rsid w:val="00247C3F"/>
    <w:rsid w:val="00247D06"/>
    <w:rsid w:val="00250036"/>
    <w:rsid w:val="00250296"/>
    <w:rsid w:val="00250849"/>
    <w:rsid w:val="00250CA2"/>
    <w:rsid w:val="00250D0E"/>
    <w:rsid w:val="00250F54"/>
    <w:rsid w:val="002510E3"/>
    <w:rsid w:val="00251292"/>
    <w:rsid w:val="0025130F"/>
    <w:rsid w:val="00251376"/>
    <w:rsid w:val="00251AA1"/>
    <w:rsid w:val="00251C4E"/>
    <w:rsid w:val="00251C70"/>
    <w:rsid w:val="00251EDB"/>
    <w:rsid w:val="00251F77"/>
    <w:rsid w:val="00251FA4"/>
    <w:rsid w:val="002523C2"/>
    <w:rsid w:val="0025282D"/>
    <w:rsid w:val="002532D2"/>
    <w:rsid w:val="00253489"/>
    <w:rsid w:val="00253CD0"/>
    <w:rsid w:val="00253E04"/>
    <w:rsid w:val="0025400B"/>
    <w:rsid w:val="002547F1"/>
    <w:rsid w:val="00254840"/>
    <w:rsid w:val="0025497A"/>
    <w:rsid w:val="00254B5F"/>
    <w:rsid w:val="00254B9E"/>
    <w:rsid w:val="00254C92"/>
    <w:rsid w:val="002550AF"/>
    <w:rsid w:val="002550F0"/>
    <w:rsid w:val="002554F9"/>
    <w:rsid w:val="002556E2"/>
    <w:rsid w:val="00255A5C"/>
    <w:rsid w:val="00255D54"/>
    <w:rsid w:val="00255DC9"/>
    <w:rsid w:val="00255FE0"/>
    <w:rsid w:val="002560C8"/>
    <w:rsid w:val="0025614E"/>
    <w:rsid w:val="00256426"/>
    <w:rsid w:val="002565A7"/>
    <w:rsid w:val="00256F4D"/>
    <w:rsid w:val="00256FDD"/>
    <w:rsid w:val="00257074"/>
    <w:rsid w:val="002571FC"/>
    <w:rsid w:val="002573BB"/>
    <w:rsid w:val="0025746A"/>
    <w:rsid w:val="00257C98"/>
    <w:rsid w:val="00257FC9"/>
    <w:rsid w:val="002604FB"/>
    <w:rsid w:val="002605D5"/>
    <w:rsid w:val="00260766"/>
    <w:rsid w:val="00260A7B"/>
    <w:rsid w:val="00260BA8"/>
    <w:rsid w:val="00260D3C"/>
    <w:rsid w:val="00260DD2"/>
    <w:rsid w:val="0026100D"/>
    <w:rsid w:val="00261067"/>
    <w:rsid w:val="0026175C"/>
    <w:rsid w:val="00261821"/>
    <w:rsid w:val="0026189A"/>
    <w:rsid w:val="00261BBB"/>
    <w:rsid w:val="00261CB9"/>
    <w:rsid w:val="00261F4F"/>
    <w:rsid w:val="00261FB8"/>
    <w:rsid w:val="002625B0"/>
    <w:rsid w:val="0026262F"/>
    <w:rsid w:val="00262967"/>
    <w:rsid w:val="00262FF7"/>
    <w:rsid w:val="002631A2"/>
    <w:rsid w:val="0026325E"/>
    <w:rsid w:val="002633E1"/>
    <w:rsid w:val="00263798"/>
    <w:rsid w:val="00263844"/>
    <w:rsid w:val="00263A40"/>
    <w:rsid w:val="00263BFE"/>
    <w:rsid w:val="00263D6D"/>
    <w:rsid w:val="00263DD3"/>
    <w:rsid w:val="00263ED0"/>
    <w:rsid w:val="0026429F"/>
    <w:rsid w:val="002645BE"/>
    <w:rsid w:val="00264744"/>
    <w:rsid w:val="002647AC"/>
    <w:rsid w:val="00264938"/>
    <w:rsid w:val="002649B3"/>
    <w:rsid w:val="00264B4E"/>
    <w:rsid w:val="00264E8A"/>
    <w:rsid w:val="00264F12"/>
    <w:rsid w:val="00265687"/>
    <w:rsid w:val="00265C57"/>
    <w:rsid w:val="00265C8D"/>
    <w:rsid w:val="00265E57"/>
    <w:rsid w:val="002662C1"/>
    <w:rsid w:val="002664D1"/>
    <w:rsid w:val="00266642"/>
    <w:rsid w:val="00266693"/>
    <w:rsid w:val="002668B3"/>
    <w:rsid w:val="00266DB6"/>
    <w:rsid w:val="002673F3"/>
    <w:rsid w:val="002673FC"/>
    <w:rsid w:val="0026749C"/>
    <w:rsid w:val="002679AB"/>
    <w:rsid w:val="00267BA0"/>
    <w:rsid w:val="00267BF2"/>
    <w:rsid w:val="00267D2D"/>
    <w:rsid w:val="00267E3E"/>
    <w:rsid w:val="00267E83"/>
    <w:rsid w:val="00270296"/>
    <w:rsid w:val="0027077D"/>
    <w:rsid w:val="002708B4"/>
    <w:rsid w:val="00270929"/>
    <w:rsid w:val="00270AB2"/>
    <w:rsid w:val="00270BA7"/>
    <w:rsid w:val="0027109B"/>
    <w:rsid w:val="002713C0"/>
    <w:rsid w:val="0027171F"/>
    <w:rsid w:val="0027174B"/>
    <w:rsid w:val="00271920"/>
    <w:rsid w:val="00271923"/>
    <w:rsid w:val="00271A75"/>
    <w:rsid w:val="00271C2B"/>
    <w:rsid w:val="00271E6C"/>
    <w:rsid w:val="00271FEA"/>
    <w:rsid w:val="002727B2"/>
    <w:rsid w:val="00272818"/>
    <w:rsid w:val="00272852"/>
    <w:rsid w:val="00272A8E"/>
    <w:rsid w:val="00272BEF"/>
    <w:rsid w:val="00272D19"/>
    <w:rsid w:val="00272D8F"/>
    <w:rsid w:val="00272F3C"/>
    <w:rsid w:val="002730EA"/>
    <w:rsid w:val="002731B1"/>
    <w:rsid w:val="002733D2"/>
    <w:rsid w:val="002738C9"/>
    <w:rsid w:val="0027405D"/>
    <w:rsid w:val="0027410D"/>
    <w:rsid w:val="00274165"/>
    <w:rsid w:val="0027454A"/>
    <w:rsid w:val="00274903"/>
    <w:rsid w:val="00274BA2"/>
    <w:rsid w:val="00274C4B"/>
    <w:rsid w:val="00275247"/>
    <w:rsid w:val="002755C5"/>
    <w:rsid w:val="00275919"/>
    <w:rsid w:val="00275980"/>
    <w:rsid w:val="00275DFD"/>
    <w:rsid w:val="00275F40"/>
    <w:rsid w:val="00275F89"/>
    <w:rsid w:val="002760B7"/>
    <w:rsid w:val="002764AD"/>
    <w:rsid w:val="0027672D"/>
    <w:rsid w:val="00276783"/>
    <w:rsid w:val="00276860"/>
    <w:rsid w:val="0027687A"/>
    <w:rsid w:val="00276972"/>
    <w:rsid w:val="00276B04"/>
    <w:rsid w:val="00277420"/>
    <w:rsid w:val="002775FE"/>
    <w:rsid w:val="00277813"/>
    <w:rsid w:val="00277A94"/>
    <w:rsid w:val="00277B2D"/>
    <w:rsid w:val="00277EDB"/>
    <w:rsid w:val="00277F2D"/>
    <w:rsid w:val="00280096"/>
    <w:rsid w:val="0028048C"/>
    <w:rsid w:val="002805C3"/>
    <w:rsid w:val="00280868"/>
    <w:rsid w:val="00280BEA"/>
    <w:rsid w:val="00280C13"/>
    <w:rsid w:val="002812A3"/>
    <w:rsid w:val="002815FE"/>
    <w:rsid w:val="00281C16"/>
    <w:rsid w:val="00281FC8"/>
    <w:rsid w:val="0028235D"/>
    <w:rsid w:val="002828A7"/>
    <w:rsid w:val="002829A4"/>
    <w:rsid w:val="00282AD5"/>
    <w:rsid w:val="00282BD0"/>
    <w:rsid w:val="00282C63"/>
    <w:rsid w:val="00282E41"/>
    <w:rsid w:val="00283806"/>
    <w:rsid w:val="00283AC8"/>
    <w:rsid w:val="00283EF4"/>
    <w:rsid w:val="0028415E"/>
    <w:rsid w:val="00284290"/>
    <w:rsid w:val="0028431C"/>
    <w:rsid w:val="002848A5"/>
    <w:rsid w:val="0028495D"/>
    <w:rsid w:val="00284A32"/>
    <w:rsid w:val="00284B37"/>
    <w:rsid w:val="00285137"/>
    <w:rsid w:val="002854C1"/>
    <w:rsid w:val="0028579C"/>
    <w:rsid w:val="00285C48"/>
    <w:rsid w:val="002860E8"/>
    <w:rsid w:val="002864F1"/>
    <w:rsid w:val="00286D6F"/>
    <w:rsid w:val="00286E07"/>
    <w:rsid w:val="00287267"/>
    <w:rsid w:val="002873F3"/>
    <w:rsid w:val="002874C0"/>
    <w:rsid w:val="00287566"/>
    <w:rsid w:val="00287E34"/>
    <w:rsid w:val="00287E68"/>
    <w:rsid w:val="002900AE"/>
    <w:rsid w:val="00290428"/>
    <w:rsid w:val="002904DB"/>
    <w:rsid w:val="0029061D"/>
    <w:rsid w:val="002906AE"/>
    <w:rsid w:val="00290B2C"/>
    <w:rsid w:val="00290BAD"/>
    <w:rsid w:val="002911D4"/>
    <w:rsid w:val="00291AD8"/>
    <w:rsid w:val="00291B40"/>
    <w:rsid w:val="002921A7"/>
    <w:rsid w:val="00292456"/>
    <w:rsid w:val="002925C4"/>
    <w:rsid w:val="00292610"/>
    <w:rsid w:val="0029298E"/>
    <w:rsid w:val="00292AA5"/>
    <w:rsid w:val="00292CD2"/>
    <w:rsid w:val="00292DCB"/>
    <w:rsid w:val="002932F9"/>
    <w:rsid w:val="002934BF"/>
    <w:rsid w:val="00293B44"/>
    <w:rsid w:val="00293CBC"/>
    <w:rsid w:val="00293DEC"/>
    <w:rsid w:val="002940E5"/>
    <w:rsid w:val="00294506"/>
    <w:rsid w:val="00294702"/>
    <w:rsid w:val="002948E0"/>
    <w:rsid w:val="00294A5C"/>
    <w:rsid w:val="00294AAE"/>
    <w:rsid w:val="00294CF8"/>
    <w:rsid w:val="00294E3C"/>
    <w:rsid w:val="00294E4B"/>
    <w:rsid w:val="00294EBA"/>
    <w:rsid w:val="00294FB1"/>
    <w:rsid w:val="002954F9"/>
    <w:rsid w:val="00295895"/>
    <w:rsid w:val="00295907"/>
    <w:rsid w:val="00295A29"/>
    <w:rsid w:val="00295ADB"/>
    <w:rsid w:val="002960DB"/>
    <w:rsid w:val="002961B2"/>
    <w:rsid w:val="0029667C"/>
    <w:rsid w:val="00296748"/>
    <w:rsid w:val="0029688B"/>
    <w:rsid w:val="002968D6"/>
    <w:rsid w:val="00296F10"/>
    <w:rsid w:val="00297133"/>
    <w:rsid w:val="002971FA"/>
    <w:rsid w:val="00297406"/>
    <w:rsid w:val="00297B8C"/>
    <w:rsid w:val="00297BA0"/>
    <w:rsid w:val="002A0094"/>
    <w:rsid w:val="002A04AD"/>
    <w:rsid w:val="002A1064"/>
    <w:rsid w:val="002A10BD"/>
    <w:rsid w:val="002A147F"/>
    <w:rsid w:val="002A14DD"/>
    <w:rsid w:val="002A1502"/>
    <w:rsid w:val="002A17B8"/>
    <w:rsid w:val="002A1BFC"/>
    <w:rsid w:val="002A2484"/>
    <w:rsid w:val="002A24C9"/>
    <w:rsid w:val="002A25CE"/>
    <w:rsid w:val="002A26F2"/>
    <w:rsid w:val="002A2DC3"/>
    <w:rsid w:val="002A357A"/>
    <w:rsid w:val="002A36D3"/>
    <w:rsid w:val="002A3838"/>
    <w:rsid w:val="002A388D"/>
    <w:rsid w:val="002A3926"/>
    <w:rsid w:val="002A3AFB"/>
    <w:rsid w:val="002A3EB3"/>
    <w:rsid w:val="002A42E4"/>
    <w:rsid w:val="002A4467"/>
    <w:rsid w:val="002A48BC"/>
    <w:rsid w:val="002A4964"/>
    <w:rsid w:val="002A4A78"/>
    <w:rsid w:val="002A4E29"/>
    <w:rsid w:val="002A5064"/>
    <w:rsid w:val="002A52C0"/>
    <w:rsid w:val="002A53E0"/>
    <w:rsid w:val="002A5BC7"/>
    <w:rsid w:val="002A5EC5"/>
    <w:rsid w:val="002A6475"/>
    <w:rsid w:val="002A6671"/>
    <w:rsid w:val="002A6F14"/>
    <w:rsid w:val="002A7003"/>
    <w:rsid w:val="002A7194"/>
    <w:rsid w:val="002A71FC"/>
    <w:rsid w:val="002A723B"/>
    <w:rsid w:val="002A776E"/>
    <w:rsid w:val="002A77D5"/>
    <w:rsid w:val="002A7864"/>
    <w:rsid w:val="002A79AC"/>
    <w:rsid w:val="002A7ABF"/>
    <w:rsid w:val="002A7BE9"/>
    <w:rsid w:val="002A7C8E"/>
    <w:rsid w:val="002B000C"/>
    <w:rsid w:val="002B01AB"/>
    <w:rsid w:val="002B02AA"/>
    <w:rsid w:val="002B09A3"/>
    <w:rsid w:val="002B0DCF"/>
    <w:rsid w:val="002B0DE8"/>
    <w:rsid w:val="002B0E9C"/>
    <w:rsid w:val="002B0F6B"/>
    <w:rsid w:val="002B1213"/>
    <w:rsid w:val="002B1821"/>
    <w:rsid w:val="002B1A8D"/>
    <w:rsid w:val="002B1D24"/>
    <w:rsid w:val="002B2835"/>
    <w:rsid w:val="002B2D57"/>
    <w:rsid w:val="002B2F3C"/>
    <w:rsid w:val="002B3013"/>
    <w:rsid w:val="002B303F"/>
    <w:rsid w:val="002B328B"/>
    <w:rsid w:val="002B3517"/>
    <w:rsid w:val="002B369F"/>
    <w:rsid w:val="002B44D1"/>
    <w:rsid w:val="002B4909"/>
    <w:rsid w:val="002B495A"/>
    <w:rsid w:val="002B4EDF"/>
    <w:rsid w:val="002B5072"/>
    <w:rsid w:val="002B519D"/>
    <w:rsid w:val="002B51FA"/>
    <w:rsid w:val="002B5353"/>
    <w:rsid w:val="002B53A5"/>
    <w:rsid w:val="002B5BFE"/>
    <w:rsid w:val="002B5C8A"/>
    <w:rsid w:val="002B5D4D"/>
    <w:rsid w:val="002B5FE7"/>
    <w:rsid w:val="002B6400"/>
    <w:rsid w:val="002B6664"/>
    <w:rsid w:val="002B6C0B"/>
    <w:rsid w:val="002B78AE"/>
    <w:rsid w:val="002B7A4E"/>
    <w:rsid w:val="002B7C54"/>
    <w:rsid w:val="002C02F5"/>
    <w:rsid w:val="002C0491"/>
    <w:rsid w:val="002C09F6"/>
    <w:rsid w:val="002C0B69"/>
    <w:rsid w:val="002C0BD2"/>
    <w:rsid w:val="002C0BF0"/>
    <w:rsid w:val="002C0C5F"/>
    <w:rsid w:val="002C14FE"/>
    <w:rsid w:val="002C1529"/>
    <w:rsid w:val="002C1586"/>
    <w:rsid w:val="002C1877"/>
    <w:rsid w:val="002C192E"/>
    <w:rsid w:val="002C1B1A"/>
    <w:rsid w:val="002C1CE1"/>
    <w:rsid w:val="002C22BB"/>
    <w:rsid w:val="002C32CC"/>
    <w:rsid w:val="002C3A4D"/>
    <w:rsid w:val="002C3A6F"/>
    <w:rsid w:val="002C3B6E"/>
    <w:rsid w:val="002C3C4D"/>
    <w:rsid w:val="002C3EF5"/>
    <w:rsid w:val="002C4696"/>
    <w:rsid w:val="002C47BD"/>
    <w:rsid w:val="002C47BF"/>
    <w:rsid w:val="002C495A"/>
    <w:rsid w:val="002C4C2A"/>
    <w:rsid w:val="002C50AD"/>
    <w:rsid w:val="002C5324"/>
    <w:rsid w:val="002C56A8"/>
    <w:rsid w:val="002C597B"/>
    <w:rsid w:val="002C5A5B"/>
    <w:rsid w:val="002C5AA1"/>
    <w:rsid w:val="002C5C26"/>
    <w:rsid w:val="002C5DC1"/>
    <w:rsid w:val="002C5FDC"/>
    <w:rsid w:val="002C61AE"/>
    <w:rsid w:val="002C63F0"/>
    <w:rsid w:val="002C6713"/>
    <w:rsid w:val="002C67B4"/>
    <w:rsid w:val="002C6888"/>
    <w:rsid w:val="002C69C9"/>
    <w:rsid w:val="002C6DF4"/>
    <w:rsid w:val="002C6FA9"/>
    <w:rsid w:val="002C7475"/>
    <w:rsid w:val="002C766E"/>
    <w:rsid w:val="002C7862"/>
    <w:rsid w:val="002C7C05"/>
    <w:rsid w:val="002C7C58"/>
    <w:rsid w:val="002D00B7"/>
    <w:rsid w:val="002D029F"/>
    <w:rsid w:val="002D02B9"/>
    <w:rsid w:val="002D091C"/>
    <w:rsid w:val="002D105F"/>
    <w:rsid w:val="002D1155"/>
    <w:rsid w:val="002D11AD"/>
    <w:rsid w:val="002D1282"/>
    <w:rsid w:val="002D1499"/>
    <w:rsid w:val="002D1831"/>
    <w:rsid w:val="002D1B52"/>
    <w:rsid w:val="002D21EB"/>
    <w:rsid w:val="002D2325"/>
    <w:rsid w:val="002D2A15"/>
    <w:rsid w:val="002D2B47"/>
    <w:rsid w:val="002D2B81"/>
    <w:rsid w:val="002D30F9"/>
    <w:rsid w:val="002D31C1"/>
    <w:rsid w:val="002D3514"/>
    <w:rsid w:val="002D37E2"/>
    <w:rsid w:val="002D3AB0"/>
    <w:rsid w:val="002D3AEB"/>
    <w:rsid w:val="002D3D9C"/>
    <w:rsid w:val="002D429B"/>
    <w:rsid w:val="002D455F"/>
    <w:rsid w:val="002D472B"/>
    <w:rsid w:val="002D499A"/>
    <w:rsid w:val="002D4AB5"/>
    <w:rsid w:val="002D4ED2"/>
    <w:rsid w:val="002D59DC"/>
    <w:rsid w:val="002D5AEE"/>
    <w:rsid w:val="002D5C39"/>
    <w:rsid w:val="002D5D83"/>
    <w:rsid w:val="002D5E75"/>
    <w:rsid w:val="002D6177"/>
    <w:rsid w:val="002D64D2"/>
    <w:rsid w:val="002D694F"/>
    <w:rsid w:val="002D69FE"/>
    <w:rsid w:val="002D6D9D"/>
    <w:rsid w:val="002D7024"/>
    <w:rsid w:val="002D7501"/>
    <w:rsid w:val="002D7777"/>
    <w:rsid w:val="002D7AE3"/>
    <w:rsid w:val="002E0123"/>
    <w:rsid w:val="002E0217"/>
    <w:rsid w:val="002E02AC"/>
    <w:rsid w:val="002E0329"/>
    <w:rsid w:val="002E0E3D"/>
    <w:rsid w:val="002E1177"/>
    <w:rsid w:val="002E131B"/>
    <w:rsid w:val="002E1401"/>
    <w:rsid w:val="002E17BB"/>
    <w:rsid w:val="002E1852"/>
    <w:rsid w:val="002E1981"/>
    <w:rsid w:val="002E1BCA"/>
    <w:rsid w:val="002E1BDB"/>
    <w:rsid w:val="002E1C13"/>
    <w:rsid w:val="002E1E9B"/>
    <w:rsid w:val="002E1ED3"/>
    <w:rsid w:val="002E1EE1"/>
    <w:rsid w:val="002E1F0D"/>
    <w:rsid w:val="002E2639"/>
    <w:rsid w:val="002E2BF9"/>
    <w:rsid w:val="002E2E4C"/>
    <w:rsid w:val="002E2F39"/>
    <w:rsid w:val="002E3029"/>
    <w:rsid w:val="002E31E0"/>
    <w:rsid w:val="002E328B"/>
    <w:rsid w:val="002E38C1"/>
    <w:rsid w:val="002E3DE6"/>
    <w:rsid w:val="002E404E"/>
    <w:rsid w:val="002E42C2"/>
    <w:rsid w:val="002E4C50"/>
    <w:rsid w:val="002E4F40"/>
    <w:rsid w:val="002E5075"/>
    <w:rsid w:val="002E51D5"/>
    <w:rsid w:val="002E52C4"/>
    <w:rsid w:val="002E58AD"/>
    <w:rsid w:val="002E5BB0"/>
    <w:rsid w:val="002E5CDB"/>
    <w:rsid w:val="002E5D00"/>
    <w:rsid w:val="002E5E0D"/>
    <w:rsid w:val="002E60B5"/>
    <w:rsid w:val="002E62CA"/>
    <w:rsid w:val="002E63CF"/>
    <w:rsid w:val="002E6898"/>
    <w:rsid w:val="002E68AD"/>
    <w:rsid w:val="002E6957"/>
    <w:rsid w:val="002E6CDC"/>
    <w:rsid w:val="002E706F"/>
    <w:rsid w:val="002E7395"/>
    <w:rsid w:val="002E7636"/>
    <w:rsid w:val="002F01E3"/>
    <w:rsid w:val="002F101F"/>
    <w:rsid w:val="002F12CF"/>
    <w:rsid w:val="002F1318"/>
    <w:rsid w:val="002F14B3"/>
    <w:rsid w:val="002F1945"/>
    <w:rsid w:val="002F1EB7"/>
    <w:rsid w:val="002F1F2D"/>
    <w:rsid w:val="002F20CE"/>
    <w:rsid w:val="002F21D1"/>
    <w:rsid w:val="002F22BD"/>
    <w:rsid w:val="002F2311"/>
    <w:rsid w:val="002F256F"/>
    <w:rsid w:val="002F289A"/>
    <w:rsid w:val="002F303A"/>
    <w:rsid w:val="002F31B4"/>
    <w:rsid w:val="002F333D"/>
    <w:rsid w:val="002F393F"/>
    <w:rsid w:val="002F3971"/>
    <w:rsid w:val="002F3D93"/>
    <w:rsid w:val="002F3F58"/>
    <w:rsid w:val="002F3FF5"/>
    <w:rsid w:val="002F40D3"/>
    <w:rsid w:val="002F4429"/>
    <w:rsid w:val="002F4546"/>
    <w:rsid w:val="002F469C"/>
    <w:rsid w:val="002F46F7"/>
    <w:rsid w:val="002F4757"/>
    <w:rsid w:val="002F4761"/>
    <w:rsid w:val="002F4F45"/>
    <w:rsid w:val="002F5163"/>
    <w:rsid w:val="002F5268"/>
    <w:rsid w:val="002F5B83"/>
    <w:rsid w:val="002F62FE"/>
    <w:rsid w:val="002F6394"/>
    <w:rsid w:val="002F6B48"/>
    <w:rsid w:val="002F6D11"/>
    <w:rsid w:val="002F714B"/>
    <w:rsid w:val="002F747C"/>
    <w:rsid w:val="002F7683"/>
    <w:rsid w:val="002F7BB2"/>
    <w:rsid w:val="002F7F5C"/>
    <w:rsid w:val="0030050C"/>
    <w:rsid w:val="003005DF"/>
    <w:rsid w:val="00300D87"/>
    <w:rsid w:val="00300EED"/>
    <w:rsid w:val="00301390"/>
    <w:rsid w:val="00301493"/>
    <w:rsid w:val="00301887"/>
    <w:rsid w:val="00301B6D"/>
    <w:rsid w:val="0030217C"/>
    <w:rsid w:val="003022B7"/>
    <w:rsid w:val="003024BF"/>
    <w:rsid w:val="003025FC"/>
    <w:rsid w:val="0030274F"/>
    <w:rsid w:val="003028E9"/>
    <w:rsid w:val="00302C16"/>
    <w:rsid w:val="003031AB"/>
    <w:rsid w:val="0030325F"/>
    <w:rsid w:val="00303267"/>
    <w:rsid w:val="0030341B"/>
    <w:rsid w:val="00303679"/>
    <w:rsid w:val="003040F6"/>
    <w:rsid w:val="0030467A"/>
    <w:rsid w:val="00304E55"/>
    <w:rsid w:val="00304EBC"/>
    <w:rsid w:val="0030515C"/>
    <w:rsid w:val="003051D7"/>
    <w:rsid w:val="003053DD"/>
    <w:rsid w:val="00305C21"/>
    <w:rsid w:val="00305F85"/>
    <w:rsid w:val="00305FA4"/>
    <w:rsid w:val="0030611F"/>
    <w:rsid w:val="003063B4"/>
    <w:rsid w:val="0030695B"/>
    <w:rsid w:val="00306BCE"/>
    <w:rsid w:val="00306DFB"/>
    <w:rsid w:val="00306E43"/>
    <w:rsid w:val="00306E70"/>
    <w:rsid w:val="00306F5F"/>
    <w:rsid w:val="00306F9F"/>
    <w:rsid w:val="00307997"/>
    <w:rsid w:val="00307B83"/>
    <w:rsid w:val="00307FBF"/>
    <w:rsid w:val="003101C9"/>
    <w:rsid w:val="0031041C"/>
    <w:rsid w:val="003106A4"/>
    <w:rsid w:val="00310F64"/>
    <w:rsid w:val="00311280"/>
    <w:rsid w:val="003112ED"/>
    <w:rsid w:val="003121A5"/>
    <w:rsid w:val="003121E9"/>
    <w:rsid w:val="003125FB"/>
    <w:rsid w:val="00312758"/>
    <w:rsid w:val="00312C24"/>
    <w:rsid w:val="00312FD0"/>
    <w:rsid w:val="003130C3"/>
    <w:rsid w:val="00313543"/>
    <w:rsid w:val="0031388C"/>
    <w:rsid w:val="00313B99"/>
    <w:rsid w:val="00313F6B"/>
    <w:rsid w:val="00313FE5"/>
    <w:rsid w:val="0031459D"/>
    <w:rsid w:val="00314625"/>
    <w:rsid w:val="0031474B"/>
    <w:rsid w:val="00314837"/>
    <w:rsid w:val="003148E6"/>
    <w:rsid w:val="00314CC1"/>
    <w:rsid w:val="0031523D"/>
    <w:rsid w:val="003154F2"/>
    <w:rsid w:val="0031572E"/>
    <w:rsid w:val="00315C2F"/>
    <w:rsid w:val="003168E7"/>
    <w:rsid w:val="00316981"/>
    <w:rsid w:val="00316BE7"/>
    <w:rsid w:val="00316C8B"/>
    <w:rsid w:val="00316CE0"/>
    <w:rsid w:val="00316DE2"/>
    <w:rsid w:val="00317131"/>
    <w:rsid w:val="00317156"/>
    <w:rsid w:val="003174A4"/>
    <w:rsid w:val="00317650"/>
    <w:rsid w:val="0031768D"/>
    <w:rsid w:val="003179BC"/>
    <w:rsid w:val="00317D79"/>
    <w:rsid w:val="00317DFB"/>
    <w:rsid w:val="00317E12"/>
    <w:rsid w:val="003208E7"/>
    <w:rsid w:val="003208EB"/>
    <w:rsid w:val="00320A33"/>
    <w:rsid w:val="00320A63"/>
    <w:rsid w:val="00320D65"/>
    <w:rsid w:val="00320F1D"/>
    <w:rsid w:val="003211B0"/>
    <w:rsid w:val="003213C8"/>
    <w:rsid w:val="0032156B"/>
    <w:rsid w:val="00321816"/>
    <w:rsid w:val="0032187E"/>
    <w:rsid w:val="00321E86"/>
    <w:rsid w:val="00322264"/>
    <w:rsid w:val="0032231C"/>
    <w:rsid w:val="00322957"/>
    <w:rsid w:val="00322E9D"/>
    <w:rsid w:val="00323798"/>
    <w:rsid w:val="0032391A"/>
    <w:rsid w:val="00323A41"/>
    <w:rsid w:val="00323A56"/>
    <w:rsid w:val="00323E61"/>
    <w:rsid w:val="003241CC"/>
    <w:rsid w:val="0032474B"/>
    <w:rsid w:val="00324933"/>
    <w:rsid w:val="00324A0D"/>
    <w:rsid w:val="00324AB6"/>
    <w:rsid w:val="00324B98"/>
    <w:rsid w:val="00324CD1"/>
    <w:rsid w:val="00324E8A"/>
    <w:rsid w:val="00324F9C"/>
    <w:rsid w:val="003252CE"/>
    <w:rsid w:val="00325361"/>
    <w:rsid w:val="003256CF"/>
    <w:rsid w:val="003256E0"/>
    <w:rsid w:val="003259D2"/>
    <w:rsid w:val="00325B97"/>
    <w:rsid w:val="0032608A"/>
    <w:rsid w:val="003261CB"/>
    <w:rsid w:val="00326318"/>
    <w:rsid w:val="003273E7"/>
    <w:rsid w:val="00327E76"/>
    <w:rsid w:val="0033010B"/>
    <w:rsid w:val="003301F9"/>
    <w:rsid w:val="0033032E"/>
    <w:rsid w:val="003305F9"/>
    <w:rsid w:val="00330913"/>
    <w:rsid w:val="00330CCB"/>
    <w:rsid w:val="00330FF4"/>
    <w:rsid w:val="00331676"/>
    <w:rsid w:val="00331BB9"/>
    <w:rsid w:val="00331DAC"/>
    <w:rsid w:val="003327ED"/>
    <w:rsid w:val="003328EC"/>
    <w:rsid w:val="003329A9"/>
    <w:rsid w:val="00332AE1"/>
    <w:rsid w:val="00332C28"/>
    <w:rsid w:val="00332E04"/>
    <w:rsid w:val="00332E12"/>
    <w:rsid w:val="00332F61"/>
    <w:rsid w:val="003331CE"/>
    <w:rsid w:val="003339B8"/>
    <w:rsid w:val="00333A34"/>
    <w:rsid w:val="00333EB5"/>
    <w:rsid w:val="00333EF9"/>
    <w:rsid w:val="0033447C"/>
    <w:rsid w:val="003344EA"/>
    <w:rsid w:val="0033470B"/>
    <w:rsid w:val="0033475C"/>
    <w:rsid w:val="0033482D"/>
    <w:rsid w:val="00334A88"/>
    <w:rsid w:val="00334BBF"/>
    <w:rsid w:val="00334CFC"/>
    <w:rsid w:val="00335071"/>
    <w:rsid w:val="003352DB"/>
    <w:rsid w:val="003356A6"/>
    <w:rsid w:val="00335A2A"/>
    <w:rsid w:val="00335B5B"/>
    <w:rsid w:val="00335D69"/>
    <w:rsid w:val="00335FC8"/>
    <w:rsid w:val="00336144"/>
    <w:rsid w:val="00336193"/>
    <w:rsid w:val="00336294"/>
    <w:rsid w:val="00336351"/>
    <w:rsid w:val="003365DC"/>
    <w:rsid w:val="00336E80"/>
    <w:rsid w:val="003373F2"/>
    <w:rsid w:val="003375B1"/>
    <w:rsid w:val="003379D6"/>
    <w:rsid w:val="00337F38"/>
    <w:rsid w:val="00340E01"/>
    <w:rsid w:val="00340E85"/>
    <w:rsid w:val="003413DD"/>
    <w:rsid w:val="0034143F"/>
    <w:rsid w:val="00341DB3"/>
    <w:rsid w:val="00341F70"/>
    <w:rsid w:val="00341FB9"/>
    <w:rsid w:val="00342379"/>
    <w:rsid w:val="00342DDF"/>
    <w:rsid w:val="00342F89"/>
    <w:rsid w:val="0034302E"/>
    <w:rsid w:val="0034309C"/>
    <w:rsid w:val="003431C9"/>
    <w:rsid w:val="003437ED"/>
    <w:rsid w:val="00343910"/>
    <w:rsid w:val="00343B4A"/>
    <w:rsid w:val="00343F1E"/>
    <w:rsid w:val="003440C4"/>
    <w:rsid w:val="003440FD"/>
    <w:rsid w:val="003449FF"/>
    <w:rsid w:val="00344C41"/>
    <w:rsid w:val="003451B6"/>
    <w:rsid w:val="00345BE5"/>
    <w:rsid w:val="00345CB2"/>
    <w:rsid w:val="00345DF2"/>
    <w:rsid w:val="00345E20"/>
    <w:rsid w:val="00345EAD"/>
    <w:rsid w:val="0034604C"/>
    <w:rsid w:val="003464A9"/>
    <w:rsid w:val="0034660C"/>
    <w:rsid w:val="00346896"/>
    <w:rsid w:val="00347169"/>
    <w:rsid w:val="003471D7"/>
    <w:rsid w:val="00347432"/>
    <w:rsid w:val="00347A8D"/>
    <w:rsid w:val="00347ABD"/>
    <w:rsid w:val="00347B38"/>
    <w:rsid w:val="00347D50"/>
    <w:rsid w:val="00347D9E"/>
    <w:rsid w:val="00350041"/>
    <w:rsid w:val="003500A8"/>
    <w:rsid w:val="0035043A"/>
    <w:rsid w:val="0035071D"/>
    <w:rsid w:val="00350731"/>
    <w:rsid w:val="0035091F"/>
    <w:rsid w:val="00350BA8"/>
    <w:rsid w:val="00350D08"/>
    <w:rsid w:val="00350E11"/>
    <w:rsid w:val="003510CE"/>
    <w:rsid w:val="003511C4"/>
    <w:rsid w:val="00351522"/>
    <w:rsid w:val="003515AC"/>
    <w:rsid w:val="003516D9"/>
    <w:rsid w:val="00351D1F"/>
    <w:rsid w:val="00351DA9"/>
    <w:rsid w:val="00352108"/>
    <w:rsid w:val="003521CD"/>
    <w:rsid w:val="00352377"/>
    <w:rsid w:val="003523BF"/>
    <w:rsid w:val="0035287D"/>
    <w:rsid w:val="003529B6"/>
    <w:rsid w:val="00352A57"/>
    <w:rsid w:val="00352AB4"/>
    <w:rsid w:val="00352B9D"/>
    <w:rsid w:val="00353152"/>
    <w:rsid w:val="00353A99"/>
    <w:rsid w:val="00353F30"/>
    <w:rsid w:val="00353FCF"/>
    <w:rsid w:val="003540EF"/>
    <w:rsid w:val="003541D0"/>
    <w:rsid w:val="00354207"/>
    <w:rsid w:val="00354675"/>
    <w:rsid w:val="003554BB"/>
    <w:rsid w:val="00355E36"/>
    <w:rsid w:val="0035624F"/>
    <w:rsid w:val="003567BF"/>
    <w:rsid w:val="003567CA"/>
    <w:rsid w:val="00356A22"/>
    <w:rsid w:val="00356C81"/>
    <w:rsid w:val="003570EC"/>
    <w:rsid w:val="00357172"/>
    <w:rsid w:val="0035743B"/>
    <w:rsid w:val="00357AAA"/>
    <w:rsid w:val="0036034E"/>
    <w:rsid w:val="0036073E"/>
    <w:rsid w:val="00360973"/>
    <w:rsid w:val="00360AEF"/>
    <w:rsid w:val="00360DC2"/>
    <w:rsid w:val="00360E74"/>
    <w:rsid w:val="00360EC7"/>
    <w:rsid w:val="00360FE3"/>
    <w:rsid w:val="00361407"/>
    <w:rsid w:val="00361BD4"/>
    <w:rsid w:val="00361BF5"/>
    <w:rsid w:val="00362352"/>
    <w:rsid w:val="00362819"/>
    <w:rsid w:val="0036295D"/>
    <w:rsid w:val="00362C2B"/>
    <w:rsid w:val="00362C54"/>
    <w:rsid w:val="00363126"/>
    <w:rsid w:val="003631E7"/>
    <w:rsid w:val="00363397"/>
    <w:rsid w:val="00363962"/>
    <w:rsid w:val="00363C4B"/>
    <w:rsid w:val="00363FC8"/>
    <w:rsid w:val="003654F6"/>
    <w:rsid w:val="00365533"/>
    <w:rsid w:val="0036559D"/>
    <w:rsid w:val="00365A2B"/>
    <w:rsid w:val="00365B74"/>
    <w:rsid w:val="00365B81"/>
    <w:rsid w:val="00365BD0"/>
    <w:rsid w:val="00365CF4"/>
    <w:rsid w:val="00365FB3"/>
    <w:rsid w:val="0036601D"/>
    <w:rsid w:val="0036628E"/>
    <w:rsid w:val="0036673E"/>
    <w:rsid w:val="0036679E"/>
    <w:rsid w:val="0036681C"/>
    <w:rsid w:val="003669DE"/>
    <w:rsid w:val="00366A79"/>
    <w:rsid w:val="00366DA7"/>
    <w:rsid w:val="00366DEF"/>
    <w:rsid w:val="00366E45"/>
    <w:rsid w:val="00366ED8"/>
    <w:rsid w:val="00366F20"/>
    <w:rsid w:val="003671AC"/>
    <w:rsid w:val="00367223"/>
    <w:rsid w:val="003672D5"/>
    <w:rsid w:val="003672F3"/>
    <w:rsid w:val="003674C1"/>
    <w:rsid w:val="0036769E"/>
    <w:rsid w:val="00367AA5"/>
    <w:rsid w:val="00367AE5"/>
    <w:rsid w:val="003700FF"/>
    <w:rsid w:val="0037026D"/>
    <w:rsid w:val="0037052F"/>
    <w:rsid w:val="003705D3"/>
    <w:rsid w:val="00370721"/>
    <w:rsid w:val="00370836"/>
    <w:rsid w:val="00370871"/>
    <w:rsid w:val="00370CDA"/>
    <w:rsid w:val="0037109E"/>
    <w:rsid w:val="00371238"/>
    <w:rsid w:val="0037124B"/>
    <w:rsid w:val="00371590"/>
    <w:rsid w:val="00371ACE"/>
    <w:rsid w:val="00371AD1"/>
    <w:rsid w:val="00371C98"/>
    <w:rsid w:val="00371CD6"/>
    <w:rsid w:val="00371D23"/>
    <w:rsid w:val="00372289"/>
    <w:rsid w:val="00372421"/>
    <w:rsid w:val="0037269B"/>
    <w:rsid w:val="003729C6"/>
    <w:rsid w:val="00372A82"/>
    <w:rsid w:val="00373674"/>
    <w:rsid w:val="00373913"/>
    <w:rsid w:val="003739E6"/>
    <w:rsid w:val="00373BDC"/>
    <w:rsid w:val="00373DF3"/>
    <w:rsid w:val="0037414E"/>
    <w:rsid w:val="003742D7"/>
    <w:rsid w:val="00374584"/>
    <w:rsid w:val="00374C25"/>
    <w:rsid w:val="00374EA1"/>
    <w:rsid w:val="00374F41"/>
    <w:rsid w:val="00375180"/>
    <w:rsid w:val="003755CB"/>
    <w:rsid w:val="00375738"/>
    <w:rsid w:val="00375A02"/>
    <w:rsid w:val="00375BFA"/>
    <w:rsid w:val="003762DA"/>
    <w:rsid w:val="003765F2"/>
    <w:rsid w:val="0037666C"/>
    <w:rsid w:val="003768F7"/>
    <w:rsid w:val="00376D06"/>
    <w:rsid w:val="00376E2D"/>
    <w:rsid w:val="00376F80"/>
    <w:rsid w:val="003779A5"/>
    <w:rsid w:val="00377F0F"/>
    <w:rsid w:val="00380084"/>
    <w:rsid w:val="00380113"/>
    <w:rsid w:val="00380142"/>
    <w:rsid w:val="00380689"/>
    <w:rsid w:val="003808D8"/>
    <w:rsid w:val="003809AF"/>
    <w:rsid w:val="003809B1"/>
    <w:rsid w:val="00380CE0"/>
    <w:rsid w:val="00381709"/>
    <w:rsid w:val="00381723"/>
    <w:rsid w:val="00381945"/>
    <w:rsid w:val="00381ACC"/>
    <w:rsid w:val="00381B0A"/>
    <w:rsid w:val="0038243B"/>
    <w:rsid w:val="00382659"/>
    <w:rsid w:val="00382EF4"/>
    <w:rsid w:val="003833DF"/>
    <w:rsid w:val="00383554"/>
    <w:rsid w:val="003835C9"/>
    <w:rsid w:val="0038360D"/>
    <w:rsid w:val="0038387C"/>
    <w:rsid w:val="00383999"/>
    <w:rsid w:val="00383AD1"/>
    <w:rsid w:val="00383B05"/>
    <w:rsid w:val="0038443F"/>
    <w:rsid w:val="00384856"/>
    <w:rsid w:val="00384B85"/>
    <w:rsid w:val="00384BC7"/>
    <w:rsid w:val="00384D86"/>
    <w:rsid w:val="003853AF"/>
    <w:rsid w:val="00385884"/>
    <w:rsid w:val="00385F89"/>
    <w:rsid w:val="003862F0"/>
    <w:rsid w:val="00386CF2"/>
    <w:rsid w:val="00386E52"/>
    <w:rsid w:val="0038730A"/>
    <w:rsid w:val="003875F5"/>
    <w:rsid w:val="0038772D"/>
    <w:rsid w:val="00387870"/>
    <w:rsid w:val="00387AA8"/>
    <w:rsid w:val="00387ABE"/>
    <w:rsid w:val="00387B4F"/>
    <w:rsid w:val="00387B69"/>
    <w:rsid w:val="00387F94"/>
    <w:rsid w:val="003908CD"/>
    <w:rsid w:val="00390B09"/>
    <w:rsid w:val="00391082"/>
    <w:rsid w:val="003912DF"/>
    <w:rsid w:val="0039137D"/>
    <w:rsid w:val="0039141C"/>
    <w:rsid w:val="00391744"/>
    <w:rsid w:val="00391808"/>
    <w:rsid w:val="0039197D"/>
    <w:rsid w:val="00391C40"/>
    <w:rsid w:val="00391CF8"/>
    <w:rsid w:val="00391F80"/>
    <w:rsid w:val="00392192"/>
    <w:rsid w:val="0039219B"/>
    <w:rsid w:val="003927A1"/>
    <w:rsid w:val="003927C8"/>
    <w:rsid w:val="003927E6"/>
    <w:rsid w:val="003927ED"/>
    <w:rsid w:val="00392960"/>
    <w:rsid w:val="00392B3E"/>
    <w:rsid w:val="00392E57"/>
    <w:rsid w:val="00393030"/>
    <w:rsid w:val="00393192"/>
    <w:rsid w:val="00393261"/>
    <w:rsid w:val="003935A2"/>
    <w:rsid w:val="003938D9"/>
    <w:rsid w:val="00393D1D"/>
    <w:rsid w:val="00394150"/>
    <w:rsid w:val="0039423A"/>
    <w:rsid w:val="0039451D"/>
    <w:rsid w:val="003945FE"/>
    <w:rsid w:val="0039478B"/>
    <w:rsid w:val="003948E8"/>
    <w:rsid w:val="00394973"/>
    <w:rsid w:val="00394FA7"/>
    <w:rsid w:val="0039515A"/>
    <w:rsid w:val="00395282"/>
    <w:rsid w:val="00395573"/>
    <w:rsid w:val="00395836"/>
    <w:rsid w:val="00395CE4"/>
    <w:rsid w:val="003964A6"/>
    <w:rsid w:val="003964EE"/>
    <w:rsid w:val="00396555"/>
    <w:rsid w:val="003976AC"/>
    <w:rsid w:val="00397748"/>
    <w:rsid w:val="00397A56"/>
    <w:rsid w:val="00397B2A"/>
    <w:rsid w:val="00397BFC"/>
    <w:rsid w:val="00397F0D"/>
    <w:rsid w:val="00397F31"/>
    <w:rsid w:val="003A0158"/>
    <w:rsid w:val="003A0214"/>
    <w:rsid w:val="003A0339"/>
    <w:rsid w:val="003A03FF"/>
    <w:rsid w:val="003A067B"/>
    <w:rsid w:val="003A1247"/>
    <w:rsid w:val="003A12DA"/>
    <w:rsid w:val="003A1570"/>
    <w:rsid w:val="003A17DD"/>
    <w:rsid w:val="003A1898"/>
    <w:rsid w:val="003A1B0B"/>
    <w:rsid w:val="003A1BE7"/>
    <w:rsid w:val="003A1F16"/>
    <w:rsid w:val="003A1F5F"/>
    <w:rsid w:val="003A223A"/>
    <w:rsid w:val="003A2658"/>
    <w:rsid w:val="003A2920"/>
    <w:rsid w:val="003A2DBE"/>
    <w:rsid w:val="003A34FA"/>
    <w:rsid w:val="003A378D"/>
    <w:rsid w:val="003A3B5D"/>
    <w:rsid w:val="003A3E94"/>
    <w:rsid w:val="003A40C8"/>
    <w:rsid w:val="003A416F"/>
    <w:rsid w:val="003A44B3"/>
    <w:rsid w:val="003A4551"/>
    <w:rsid w:val="003A456C"/>
    <w:rsid w:val="003A48EA"/>
    <w:rsid w:val="003A4A6F"/>
    <w:rsid w:val="003A4B41"/>
    <w:rsid w:val="003A4F26"/>
    <w:rsid w:val="003A554C"/>
    <w:rsid w:val="003A5773"/>
    <w:rsid w:val="003A585E"/>
    <w:rsid w:val="003A58B1"/>
    <w:rsid w:val="003A5915"/>
    <w:rsid w:val="003A5B37"/>
    <w:rsid w:val="003A5B81"/>
    <w:rsid w:val="003A5BE0"/>
    <w:rsid w:val="003A5DC8"/>
    <w:rsid w:val="003A6390"/>
    <w:rsid w:val="003A67A0"/>
    <w:rsid w:val="003A6FC6"/>
    <w:rsid w:val="003A7091"/>
    <w:rsid w:val="003A71EA"/>
    <w:rsid w:val="003A72C0"/>
    <w:rsid w:val="003A733D"/>
    <w:rsid w:val="003A7657"/>
    <w:rsid w:val="003A7A08"/>
    <w:rsid w:val="003B007F"/>
    <w:rsid w:val="003B0343"/>
    <w:rsid w:val="003B040C"/>
    <w:rsid w:val="003B050A"/>
    <w:rsid w:val="003B0625"/>
    <w:rsid w:val="003B062D"/>
    <w:rsid w:val="003B0E04"/>
    <w:rsid w:val="003B1031"/>
    <w:rsid w:val="003B1192"/>
    <w:rsid w:val="003B11BB"/>
    <w:rsid w:val="003B15C8"/>
    <w:rsid w:val="003B1B38"/>
    <w:rsid w:val="003B1B3B"/>
    <w:rsid w:val="003B1E1B"/>
    <w:rsid w:val="003B205F"/>
    <w:rsid w:val="003B215C"/>
    <w:rsid w:val="003B23AE"/>
    <w:rsid w:val="003B26F4"/>
    <w:rsid w:val="003B2907"/>
    <w:rsid w:val="003B2AC0"/>
    <w:rsid w:val="003B2B28"/>
    <w:rsid w:val="003B2BA5"/>
    <w:rsid w:val="003B342D"/>
    <w:rsid w:val="003B3634"/>
    <w:rsid w:val="003B39A1"/>
    <w:rsid w:val="003B39CB"/>
    <w:rsid w:val="003B3CFD"/>
    <w:rsid w:val="003B4022"/>
    <w:rsid w:val="003B496B"/>
    <w:rsid w:val="003B4CBF"/>
    <w:rsid w:val="003B4FC6"/>
    <w:rsid w:val="003B517D"/>
    <w:rsid w:val="003B542E"/>
    <w:rsid w:val="003B5587"/>
    <w:rsid w:val="003B5773"/>
    <w:rsid w:val="003B58A0"/>
    <w:rsid w:val="003B6045"/>
    <w:rsid w:val="003B621E"/>
    <w:rsid w:val="003B66F3"/>
    <w:rsid w:val="003B71D1"/>
    <w:rsid w:val="003B74C7"/>
    <w:rsid w:val="003B766F"/>
    <w:rsid w:val="003B7A21"/>
    <w:rsid w:val="003B7B14"/>
    <w:rsid w:val="003B7C62"/>
    <w:rsid w:val="003C0292"/>
    <w:rsid w:val="003C02E9"/>
    <w:rsid w:val="003C043E"/>
    <w:rsid w:val="003C0503"/>
    <w:rsid w:val="003C06F9"/>
    <w:rsid w:val="003C0842"/>
    <w:rsid w:val="003C0A57"/>
    <w:rsid w:val="003C0A7E"/>
    <w:rsid w:val="003C0B05"/>
    <w:rsid w:val="003C0DB7"/>
    <w:rsid w:val="003C0FBB"/>
    <w:rsid w:val="003C1080"/>
    <w:rsid w:val="003C10DF"/>
    <w:rsid w:val="003C1438"/>
    <w:rsid w:val="003C14D0"/>
    <w:rsid w:val="003C153A"/>
    <w:rsid w:val="003C1A05"/>
    <w:rsid w:val="003C1C13"/>
    <w:rsid w:val="003C1C3B"/>
    <w:rsid w:val="003C1D6D"/>
    <w:rsid w:val="003C1F20"/>
    <w:rsid w:val="003C29A4"/>
    <w:rsid w:val="003C2BDD"/>
    <w:rsid w:val="003C2E40"/>
    <w:rsid w:val="003C2E90"/>
    <w:rsid w:val="003C2F03"/>
    <w:rsid w:val="003C3088"/>
    <w:rsid w:val="003C3B6B"/>
    <w:rsid w:val="003C3B90"/>
    <w:rsid w:val="003C3C61"/>
    <w:rsid w:val="003C40BE"/>
    <w:rsid w:val="003C42F9"/>
    <w:rsid w:val="003C4519"/>
    <w:rsid w:val="003C4720"/>
    <w:rsid w:val="003C4AED"/>
    <w:rsid w:val="003C5344"/>
    <w:rsid w:val="003C53C4"/>
    <w:rsid w:val="003C5496"/>
    <w:rsid w:val="003C54AF"/>
    <w:rsid w:val="003C56DD"/>
    <w:rsid w:val="003C57FF"/>
    <w:rsid w:val="003C5827"/>
    <w:rsid w:val="003C5E52"/>
    <w:rsid w:val="003C660B"/>
    <w:rsid w:val="003C6B37"/>
    <w:rsid w:val="003C7134"/>
    <w:rsid w:val="003C7476"/>
    <w:rsid w:val="003C7765"/>
    <w:rsid w:val="003C78C4"/>
    <w:rsid w:val="003C7C9E"/>
    <w:rsid w:val="003D00D9"/>
    <w:rsid w:val="003D047F"/>
    <w:rsid w:val="003D0558"/>
    <w:rsid w:val="003D09BE"/>
    <w:rsid w:val="003D09D4"/>
    <w:rsid w:val="003D0CF5"/>
    <w:rsid w:val="003D1211"/>
    <w:rsid w:val="003D14C8"/>
    <w:rsid w:val="003D1950"/>
    <w:rsid w:val="003D1A87"/>
    <w:rsid w:val="003D1B96"/>
    <w:rsid w:val="003D1E5B"/>
    <w:rsid w:val="003D2084"/>
    <w:rsid w:val="003D239E"/>
    <w:rsid w:val="003D2700"/>
    <w:rsid w:val="003D2ABF"/>
    <w:rsid w:val="003D2AE0"/>
    <w:rsid w:val="003D2D24"/>
    <w:rsid w:val="003D2DB7"/>
    <w:rsid w:val="003D3076"/>
    <w:rsid w:val="003D33C5"/>
    <w:rsid w:val="003D3630"/>
    <w:rsid w:val="003D3718"/>
    <w:rsid w:val="003D406E"/>
    <w:rsid w:val="003D4460"/>
    <w:rsid w:val="003D4590"/>
    <w:rsid w:val="003D4642"/>
    <w:rsid w:val="003D46A7"/>
    <w:rsid w:val="003D554B"/>
    <w:rsid w:val="003D5D90"/>
    <w:rsid w:val="003D5DF3"/>
    <w:rsid w:val="003D616C"/>
    <w:rsid w:val="003D6588"/>
    <w:rsid w:val="003D66E3"/>
    <w:rsid w:val="003D6724"/>
    <w:rsid w:val="003D69DF"/>
    <w:rsid w:val="003D70F3"/>
    <w:rsid w:val="003D745B"/>
    <w:rsid w:val="003D749E"/>
    <w:rsid w:val="003D78B9"/>
    <w:rsid w:val="003D7ABC"/>
    <w:rsid w:val="003D7CD9"/>
    <w:rsid w:val="003D7DAF"/>
    <w:rsid w:val="003E0065"/>
    <w:rsid w:val="003E06CE"/>
    <w:rsid w:val="003E0AFD"/>
    <w:rsid w:val="003E0C12"/>
    <w:rsid w:val="003E0F27"/>
    <w:rsid w:val="003E0F8A"/>
    <w:rsid w:val="003E1032"/>
    <w:rsid w:val="003E1280"/>
    <w:rsid w:val="003E12F3"/>
    <w:rsid w:val="003E174B"/>
    <w:rsid w:val="003E1B90"/>
    <w:rsid w:val="003E1C02"/>
    <w:rsid w:val="003E1D5D"/>
    <w:rsid w:val="003E1D71"/>
    <w:rsid w:val="003E1E74"/>
    <w:rsid w:val="003E2487"/>
    <w:rsid w:val="003E28E7"/>
    <w:rsid w:val="003E2A3D"/>
    <w:rsid w:val="003E2A62"/>
    <w:rsid w:val="003E2A86"/>
    <w:rsid w:val="003E2E20"/>
    <w:rsid w:val="003E2FD6"/>
    <w:rsid w:val="003E3058"/>
    <w:rsid w:val="003E31A0"/>
    <w:rsid w:val="003E322C"/>
    <w:rsid w:val="003E3249"/>
    <w:rsid w:val="003E32BF"/>
    <w:rsid w:val="003E3474"/>
    <w:rsid w:val="003E3490"/>
    <w:rsid w:val="003E352B"/>
    <w:rsid w:val="003E3A3F"/>
    <w:rsid w:val="003E3D66"/>
    <w:rsid w:val="003E3E1D"/>
    <w:rsid w:val="003E4133"/>
    <w:rsid w:val="003E4298"/>
    <w:rsid w:val="003E52D4"/>
    <w:rsid w:val="003E5657"/>
    <w:rsid w:val="003E5A4A"/>
    <w:rsid w:val="003E5BE5"/>
    <w:rsid w:val="003E5C1C"/>
    <w:rsid w:val="003E60A2"/>
    <w:rsid w:val="003E6828"/>
    <w:rsid w:val="003E6C45"/>
    <w:rsid w:val="003E6F08"/>
    <w:rsid w:val="003E6FF5"/>
    <w:rsid w:val="003E71D2"/>
    <w:rsid w:val="003E7293"/>
    <w:rsid w:val="003E749F"/>
    <w:rsid w:val="003E765B"/>
    <w:rsid w:val="003E7782"/>
    <w:rsid w:val="003E7C7F"/>
    <w:rsid w:val="003E7D15"/>
    <w:rsid w:val="003F004D"/>
    <w:rsid w:val="003F03B3"/>
    <w:rsid w:val="003F0474"/>
    <w:rsid w:val="003F056C"/>
    <w:rsid w:val="003F06A4"/>
    <w:rsid w:val="003F0EDF"/>
    <w:rsid w:val="003F12E2"/>
    <w:rsid w:val="003F1840"/>
    <w:rsid w:val="003F189A"/>
    <w:rsid w:val="003F1964"/>
    <w:rsid w:val="003F1C96"/>
    <w:rsid w:val="003F22FB"/>
    <w:rsid w:val="003F2656"/>
    <w:rsid w:val="003F2827"/>
    <w:rsid w:val="003F294F"/>
    <w:rsid w:val="003F2D27"/>
    <w:rsid w:val="003F30DD"/>
    <w:rsid w:val="003F30E4"/>
    <w:rsid w:val="003F3711"/>
    <w:rsid w:val="003F38B9"/>
    <w:rsid w:val="003F3B66"/>
    <w:rsid w:val="003F3D66"/>
    <w:rsid w:val="003F3D92"/>
    <w:rsid w:val="003F3DA4"/>
    <w:rsid w:val="003F3E2F"/>
    <w:rsid w:val="003F3E4B"/>
    <w:rsid w:val="003F3EF2"/>
    <w:rsid w:val="003F40F7"/>
    <w:rsid w:val="003F423D"/>
    <w:rsid w:val="003F47D9"/>
    <w:rsid w:val="003F4C93"/>
    <w:rsid w:val="003F5099"/>
    <w:rsid w:val="003F509D"/>
    <w:rsid w:val="003F50AA"/>
    <w:rsid w:val="003F53BE"/>
    <w:rsid w:val="003F5660"/>
    <w:rsid w:val="003F5C1C"/>
    <w:rsid w:val="003F65CC"/>
    <w:rsid w:val="003F6703"/>
    <w:rsid w:val="003F6801"/>
    <w:rsid w:val="003F69EE"/>
    <w:rsid w:val="003F6B4C"/>
    <w:rsid w:val="003F6CCB"/>
    <w:rsid w:val="003F71E6"/>
    <w:rsid w:val="003F738B"/>
    <w:rsid w:val="003F73E8"/>
    <w:rsid w:val="003F7439"/>
    <w:rsid w:val="00400210"/>
    <w:rsid w:val="004002C3"/>
    <w:rsid w:val="0040040A"/>
    <w:rsid w:val="004005D3"/>
    <w:rsid w:val="00400950"/>
    <w:rsid w:val="00401279"/>
    <w:rsid w:val="004012D1"/>
    <w:rsid w:val="004013E2"/>
    <w:rsid w:val="00401530"/>
    <w:rsid w:val="00401E14"/>
    <w:rsid w:val="00401E27"/>
    <w:rsid w:val="0040206A"/>
    <w:rsid w:val="00402189"/>
    <w:rsid w:val="004021BE"/>
    <w:rsid w:val="004022B3"/>
    <w:rsid w:val="004022D0"/>
    <w:rsid w:val="0040238B"/>
    <w:rsid w:val="00402420"/>
    <w:rsid w:val="00402B26"/>
    <w:rsid w:val="00402BBB"/>
    <w:rsid w:val="0040312E"/>
    <w:rsid w:val="00403314"/>
    <w:rsid w:val="00403658"/>
    <w:rsid w:val="00403D83"/>
    <w:rsid w:val="00403DEC"/>
    <w:rsid w:val="004040A1"/>
    <w:rsid w:val="004040B8"/>
    <w:rsid w:val="004042B2"/>
    <w:rsid w:val="0040448A"/>
    <w:rsid w:val="00404871"/>
    <w:rsid w:val="00404ECD"/>
    <w:rsid w:val="00405152"/>
    <w:rsid w:val="004058E3"/>
    <w:rsid w:val="004059B8"/>
    <w:rsid w:val="00405DCF"/>
    <w:rsid w:val="0040612E"/>
    <w:rsid w:val="00406145"/>
    <w:rsid w:val="00406253"/>
    <w:rsid w:val="004062EF"/>
    <w:rsid w:val="004067C9"/>
    <w:rsid w:val="00406B20"/>
    <w:rsid w:val="00406C74"/>
    <w:rsid w:val="00406E0D"/>
    <w:rsid w:val="0040700D"/>
    <w:rsid w:val="004071D8"/>
    <w:rsid w:val="004073F3"/>
    <w:rsid w:val="00407537"/>
    <w:rsid w:val="00407561"/>
    <w:rsid w:val="0040783A"/>
    <w:rsid w:val="00407AE7"/>
    <w:rsid w:val="00407AEB"/>
    <w:rsid w:val="00407EBA"/>
    <w:rsid w:val="00407F75"/>
    <w:rsid w:val="004103A5"/>
    <w:rsid w:val="00410636"/>
    <w:rsid w:val="00410B17"/>
    <w:rsid w:val="00410F33"/>
    <w:rsid w:val="004111BA"/>
    <w:rsid w:val="00411382"/>
    <w:rsid w:val="004114B8"/>
    <w:rsid w:val="004119BD"/>
    <w:rsid w:val="004119F9"/>
    <w:rsid w:val="00411C81"/>
    <w:rsid w:val="004121E1"/>
    <w:rsid w:val="00412332"/>
    <w:rsid w:val="004124C8"/>
    <w:rsid w:val="0041258C"/>
    <w:rsid w:val="00412881"/>
    <w:rsid w:val="00412FBE"/>
    <w:rsid w:val="0041309A"/>
    <w:rsid w:val="004130C8"/>
    <w:rsid w:val="0041387A"/>
    <w:rsid w:val="00413A03"/>
    <w:rsid w:val="00413E30"/>
    <w:rsid w:val="004141A3"/>
    <w:rsid w:val="0041465C"/>
    <w:rsid w:val="00414F04"/>
    <w:rsid w:val="004159D5"/>
    <w:rsid w:val="00415A1E"/>
    <w:rsid w:val="00415A7B"/>
    <w:rsid w:val="00415D66"/>
    <w:rsid w:val="00415D7A"/>
    <w:rsid w:val="00415E3A"/>
    <w:rsid w:val="00416046"/>
    <w:rsid w:val="00416302"/>
    <w:rsid w:val="004164A6"/>
    <w:rsid w:val="00416619"/>
    <w:rsid w:val="004166AE"/>
    <w:rsid w:val="00416A30"/>
    <w:rsid w:val="00416A37"/>
    <w:rsid w:val="00416A68"/>
    <w:rsid w:val="00416A98"/>
    <w:rsid w:val="00416BDD"/>
    <w:rsid w:val="00416EE6"/>
    <w:rsid w:val="004173F4"/>
    <w:rsid w:val="0041756A"/>
    <w:rsid w:val="004176D1"/>
    <w:rsid w:val="0041786D"/>
    <w:rsid w:val="00417969"/>
    <w:rsid w:val="00417B4A"/>
    <w:rsid w:val="00417DD6"/>
    <w:rsid w:val="00417EED"/>
    <w:rsid w:val="00417F91"/>
    <w:rsid w:val="00420009"/>
    <w:rsid w:val="004200CF"/>
    <w:rsid w:val="00420411"/>
    <w:rsid w:val="00420486"/>
    <w:rsid w:val="004205FB"/>
    <w:rsid w:val="004209B5"/>
    <w:rsid w:val="00420B31"/>
    <w:rsid w:val="00420B63"/>
    <w:rsid w:val="00420B85"/>
    <w:rsid w:val="004213EA"/>
    <w:rsid w:val="00421889"/>
    <w:rsid w:val="00421DF5"/>
    <w:rsid w:val="00421F77"/>
    <w:rsid w:val="00422040"/>
    <w:rsid w:val="004220F5"/>
    <w:rsid w:val="00422274"/>
    <w:rsid w:val="0042274C"/>
    <w:rsid w:val="00422873"/>
    <w:rsid w:val="0042290C"/>
    <w:rsid w:val="00422968"/>
    <w:rsid w:val="00422D25"/>
    <w:rsid w:val="00422FA6"/>
    <w:rsid w:val="00422FC6"/>
    <w:rsid w:val="0042315C"/>
    <w:rsid w:val="0042337E"/>
    <w:rsid w:val="00423BE7"/>
    <w:rsid w:val="00423C86"/>
    <w:rsid w:val="00424140"/>
    <w:rsid w:val="004241E1"/>
    <w:rsid w:val="00424448"/>
    <w:rsid w:val="004245AD"/>
    <w:rsid w:val="00424855"/>
    <w:rsid w:val="00424906"/>
    <w:rsid w:val="00424A2E"/>
    <w:rsid w:val="00424D86"/>
    <w:rsid w:val="00424DD3"/>
    <w:rsid w:val="0042542D"/>
    <w:rsid w:val="004255EF"/>
    <w:rsid w:val="0042599A"/>
    <w:rsid w:val="00425A54"/>
    <w:rsid w:val="00425F3F"/>
    <w:rsid w:val="00425FD4"/>
    <w:rsid w:val="00426098"/>
    <w:rsid w:val="00426176"/>
    <w:rsid w:val="0042620E"/>
    <w:rsid w:val="004263AF"/>
    <w:rsid w:val="00426485"/>
    <w:rsid w:val="004264D7"/>
    <w:rsid w:val="00426A64"/>
    <w:rsid w:val="00426D5A"/>
    <w:rsid w:val="00426EDA"/>
    <w:rsid w:val="00426EED"/>
    <w:rsid w:val="004271D7"/>
    <w:rsid w:val="0042723D"/>
    <w:rsid w:val="0042726D"/>
    <w:rsid w:val="00427311"/>
    <w:rsid w:val="00427A17"/>
    <w:rsid w:val="00427C7C"/>
    <w:rsid w:val="00427D7A"/>
    <w:rsid w:val="00427F5E"/>
    <w:rsid w:val="0043000E"/>
    <w:rsid w:val="0043012B"/>
    <w:rsid w:val="00430318"/>
    <w:rsid w:val="00430409"/>
    <w:rsid w:val="004304E9"/>
    <w:rsid w:val="0043074F"/>
    <w:rsid w:val="004307E5"/>
    <w:rsid w:val="00430A20"/>
    <w:rsid w:val="00430D47"/>
    <w:rsid w:val="00430F29"/>
    <w:rsid w:val="00430F7A"/>
    <w:rsid w:val="00431202"/>
    <w:rsid w:val="00431256"/>
    <w:rsid w:val="0043135A"/>
    <w:rsid w:val="004316A9"/>
    <w:rsid w:val="00431709"/>
    <w:rsid w:val="00431F50"/>
    <w:rsid w:val="00432866"/>
    <w:rsid w:val="00432886"/>
    <w:rsid w:val="00432961"/>
    <w:rsid w:val="00432B42"/>
    <w:rsid w:val="00432E61"/>
    <w:rsid w:val="00433123"/>
    <w:rsid w:val="00433748"/>
    <w:rsid w:val="00433A76"/>
    <w:rsid w:val="00433C17"/>
    <w:rsid w:val="00433F58"/>
    <w:rsid w:val="00433FD8"/>
    <w:rsid w:val="0043406C"/>
    <w:rsid w:val="004340AA"/>
    <w:rsid w:val="004342A1"/>
    <w:rsid w:val="00434534"/>
    <w:rsid w:val="004349B2"/>
    <w:rsid w:val="004349D1"/>
    <w:rsid w:val="00434B7E"/>
    <w:rsid w:val="00434E7A"/>
    <w:rsid w:val="00434F35"/>
    <w:rsid w:val="004353B4"/>
    <w:rsid w:val="004354A7"/>
    <w:rsid w:val="00435719"/>
    <w:rsid w:val="004358D9"/>
    <w:rsid w:val="00435ED9"/>
    <w:rsid w:val="0043633A"/>
    <w:rsid w:val="004365A9"/>
    <w:rsid w:val="004367F8"/>
    <w:rsid w:val="0043681B"/>
    <w:rsid w:val="00436BCF"/>
    <w:rsid w:val="00436C11"/>
    <w:rsid w:val="00437074"/>
    <w:rsid w:val="0043721C"/>
    <w:rsid w:val="00437291"/>
    <w:rsid w:val="00437979"/>
    <w:rsid w:val="00437A74"/>
    <w:rsid w:val="00437C1E"/>
    <w:rsid w:val="00437CA0"/>
    <w:rsid w:val="00440262"/>
    <w:rsid w:val="0044037D"/>
    <w:rsid w:val="004407E0"/>
    <w:rsid w:val="004410A7"/>
    <w:rsid w:val="004417D9"/>
    <w:rsid w:val="004420ED"/>
    <w:rsid w:val="004421D7"/>
    <w:rsid w:val="004423F7"/>
    <w:rsid w:val="004426C7"/>
    <w:rsid w:val="00443198"/>
    <w:rsid w:val="00443575"/>
    <w:rsid w:val="00443810"/>
    <w:rsid w:val="00443AA1"/>
    <w:rsid w:val="00443B1B"/>
    <w:rsid w:val="00443D43"/>
    <w:rsid w:val="00443F67"/>
    <w:rsid w:val="004440FF"/>
    <w:rsid w:val="0044434C"/>
    <w:rsid w:val="00444586"/>
    <w:rsid w:val="00444920"/>
    <w:rsid w:val="00444A14"/>
    <w:rsid w:val="00444A82"/>
    <w:rsid w:val="00444D1A"/>
    <w:rsid w:val="00444ECD"/>
    <w:rsid w:val="0044539D"/>
    <w:rsid w:val="00445912"/>
    <w:rsid w:val="00445975"/>
    <w:rsid w:val="00445D0A"/>
    <w:rsid w:val="00445D70"/>
    <w:rsid w:val="00445F48"/>
    <w:rsid w:val="00446186"/>
    <w:rsid w:val="0044632A"/>
    <w:rsid w:val="004466DF"/>
    <w:rsid w:val="00446AED"/>
    <w:rsid w:val="00446DBA"/>
    <w:rsid w:val="004470AA"/>
    <w:rsid w:val="004471B7"/>
    <w:rsid w:val="00447479"/>
    <w:rsid w:val="0044760B"/>
    <w:rsid w:val="00447727"/>
    <w:rsid w:val="00447849"/>
    <w:rsid w:val="00447A4F"/>
    <w:rsid w:val="00447CB1"/>
    <w:rsid w:val="00447D31"/>
    <w:rsid w:val="00447E6F"/>
    <w:rsid w:val="004502E9"/>
    <w:rsid w:val="00450387"/>
    <w:rsid w:val="00450471"/>
    <w:rsid w:val="004505B7"/>
    <w:rsid w:val="004506C2"/>
    <w:rsid w:val="0045072D"/>
    <w:rsid w:val="0045081F"/>
    <w:rsid w:val="00450ADA"/>
    <w:rsid w:val="00450B5B"/>
    <w:rsid w:val="00450DE1"/>
    <w:rsid w:val="00450EBD"/>
    <w:rsid w:val="00450EBF"/>
    <w:rsid w:val="004517C2"/>
    <w:rsid w:val="00451823"/>
    <w:rsid w:val="00451C32"/>
    <w:rsid w:val="00451E62"/>
    <w:rsid w:val="004526A5"/>
    <w:rsid w:val="00452772"/>
    <w:rsid w:val="004528C4"/>
    <w:rsid w:val="00452B62"/>
    <w:rsid w:val="00452F7F"/>
    <w:rsid w:val="004533B4"/>
    <w:rsid w:val="0045397E"/>
    <w:rsid w:val="00453C4F"/>
    <w:rsid w:val="00453DBB"/>
    <w:rsid w:val="00453EA1"/>
    <w:rsid w:val="004542D3"/>
    <w:rsid w:val="0045480B"/>
    <w:rsid w:val="00454CE3"/>
    <w:rsid w:val="00454F8C"/>
    <w:rsid w:val="00455234"/>
    <w:rsid w:val="004552CF"/>
    <w:rsid w:val="004557B0"/>
    <w:rsid w:val="004558E8"/>
    <w:rsid w:val="00455A6C"/>
    <w:rsid w:val="00455C4E"/>
    <w:rsid w:val="00456017"/>
    <w:rsid w:val="004561FE"/>
    <w:rsid w:val="00456249"/>
    <w:rsid w:val="004562ED"/>
    <w:rsid w:val="0045676A"/>
    <w:rsid w:val="004567B4"/>
    <w:rsid w:val="0045681D"/>
    <w:rsid w:val="004568F6"/>
    <w:rsid w:val="00456960"/>
    <w:rsid w:val="00456964"/>
    <w:rsid w:val="00456AB4"/>
    <w:rsid w:val="00456D8B"/>
    <w:rsid w:val="00456F01"/>
    <w:rsid w:val="00456F6C"/>
    <w:rsid w:val="00457162"/>
    <w:rsid w:val="00457194"/>
    <w:rsid w:val="00457846"/>
    <w:rsid w:val="004603EC"/>
    <w:rsid w:val="00460571"/>
    <w:rsid w:val="00460C09"/>
    <w:rsid w:val="00460D84"/>
    <w:rsid w:val="00461593"/>
    <w:rsid w:val="004618CA"/>
    <w:rsid w:val="00461F1E"/>
    <w:rsid w:val="0046208A"/>
    <w:rsid w:val="00462194"/>
    <w:rsid w:val="00462558"/>
    <w:rsid w:val="0046298C"/>
    <w:rsid w:val="00462BF0"/>
    <w:rsid w:val="00462DA2"/>
    <w:rsid w:val="00462F3C"/>
    <w:rsid w:val="00462F60"/>
    <w:rsid w:val="00463008"/>
    <w:rsid w:val="004632A2"/>
    <w:rsid w:val="00463CCA"/>
    <w:rsid w:val="00463D9E"/>
    <w:rsid w:val="00463EEA"/>
    <w:rsid w:val="004642D5"/>
    <w:rsid w:val="00464855"/>
    <w:rsid w:val="00464AAD"/>
    <w:rsid w:val="00464CEF"/>
    <w:rsid w:val="004653F0"/>
    <w:rsid w:val="004655A3"/>
    <w:rsid w:val="004659D9"/>
    <w:rsid w:val="00466171"/>
    <w:rsid w:val="00466431"/>
    <w:rsid w:val="00466768"/>
    <w:rsid w:val="00466A0E"/>
    <w:rsid w:val="004670F6"/>
    <w:rsid w:val="00467760"/>
    <w:rsid w:val="00467A2C"/>
    <w:rsid w:val="00467A2F"/>
    <w:rsid w:val="00467F1E"/>
    <w:rsid w:val="0047012D"/>
    <w:rsid w:val="00470599"/>
    <w:rsid w:val="00470B04"/>
    <w:rsid w:val="00471496"/>
    <w:rsid w:val="004715EA"/>
    <w:rsid w:val="0047162B"/>
    <w:rsid w:val="004716C9"/>
    <w:rsid w:val="00471799"/>
    <w:rsid w:val="00471B57"/>
    <w:rsid w:val="00471EC0"/>
    <w:rsid w:val="00472680"/>
    <w:rsid w:val="00473082"/>
    <w:rsid w:val="00473444"/>
    <w:rsid w:val="004736C2"/>
    <w:rsid w:val="004739F4"/>
    <w:rsid w:val="00473BB5"/>
    <w:rsid w:val="00473CAC"/>
    <w:rsid w:val="00473E5D"/>
    <w:rsid w:val="00473E9F"/>
    <w:rsid w:val="00474121"/>
    <w:rsid w:val="004741B1"/>
    <w:rsid w:val="0047429E"/>
    <w:rsid w:val="00474329"/>
    <w:rsid w:val="0047461F"/>
    <w:rsid w:val="004746AE"/>
    <w:rsid w:val="004749F3"/>
    <w:rsid w:val="00474C5C"/>
    <w:rsid w:val="00474D54"/>
    <w:rsid w:val="00474D67"/>
    <w:rsid w:val="004750CF"/>
    <w:rsid w:val="004753D3"/>
    <w:rsid w:val="00475515"/>
    <w:rsid w:val="0047576A"/>
    <w:rsid w:val="004759DF"/>
    <w:rsid w:val="00475C29"/>
    <w:rsid w:val="00476103"/>
    <w:rsid w:val="004764D4"/>
    <w:rsid w:val="00476664"/>
    <w:rsid w:val="0047681A"/>
    <w:rsid w:val="00476A22"/>
    <w:rsid w:val="00476FBC"/>
    <w:rsid w:val="004775D1"/>
    <w:rsid w:val="00477908"/>
    <w:rsid w:val="00477D32"/>
    <w:rsid w:val="00477F19"/>
    <w:rsid w:val="004802EB"/>
    <w:rsid w:val="00480793"/>
    <w:rsid w:val="0048085A"/>
    <w:rsid w:val="004808D5"/>
    <w:rsid w:val="004808FE"/>
    <w:rsid w:val="00480AEB"/>
    <w:rsid w:val="00480C70"/>
    <w:rsid w:val="00480DE5"/>
    <w:rsid w:val="00480EF1"/>
    <w:rsid w:val="0048125A"/>
    <w:rsid w:val="00481466"/>
    <w:rsid w:val="00481622"/>
    <w:rsid w:val="0048173E"/>
    <w:rsid w:val="00481879"/>
    <w:rsid w:val="00481E03"/>
    <w:rsid w:val="00482258"/>
    <w:rsid w:val="004826C3"/>
    <w:rsid w:val="004829D3"/>
    <w:rsid w:val="004829E0"/>
    <w:rsid w:val="00482A0D"/>
    <w:rsid w:val="00482A2C"/>
    <w:rsid w:val="00482B7B"/>
    <w:rsid w:val="00482C17"/>
    <w:rsid w:val="00482EAF"/>
    <w:rsid w:val="00483390"/>
    <w:rsid w:val="0048372F"/>
    <w:rsid w:val="0048380D"/>
    <w:rsid w:val="00483C9C"/>
    <w:rsid w:val="00483DFE"/>
    <w:rsid w:val="00484196"/>
    <w:rsid w:val="004842DC"/>
    <w:rsid w:val="004846C5"/>
    <w:rsid w:val="00484781"/>
    <w:rsid w:val="004847D1"/>
    <w:rsid w:val="00484920"/>
    <w:rsid w:val="00484949"/>
    <w:rsid w:val="004849E3"/>
    <w:rsid w:val="004849F8"/>
    <w:rsid w:val="00484AF8"/>
    <w:rsid w:val="00484BBB"/>
    <w:rsid w:val="00485149"/>
    <w:rsid w:val="00485178"/>
    <w:rsid w:val="00485187"/>
    <w:rsid w:val="00485193"/>
    <w:rsid w:val="00485381"/>
    <w:rsid w:val="004853D8"/>
    <w:rsid w:val="00485520"/>
    <w:rsid w:val="00485FCD"/>
    <w:rsid w:val="004861D9"/>
    <w:rsid w:val="004863AB"/>
    <w:rsid w:val="0048663C"/>
    <w:rsid w:val="00486BEE"/>
    <w:rsid w:val="00486FD6"/>
    <w:rsid w:val="004870E0"/>
    <w:rsid w:val="0048710D"/>
    <w:rsid w:val="004871BA"/>
    <w:rsid w:val="0048768E"/>
    <w:rsid w:val="00487D3F"/>
    <w:rsid w:val="00487E42"/>
    <w:rsid w:val="00487E6C"/>
    <w:rsid w:val="00487FBD"/>
    <w:rsid w:val="00490396"/>
    <w:rsid w:val="00490403"/>
    <w:rsid w:val="004904E4"/>
    <w:rsid w:val="0049059B"/>
    <w:rsid w:val="004906BD"/>
    <w:rsid w:val="00490A5C"/>
    <w:rsid w:val="00490B7F"/>
    <w:rsid w:val="00490E3C"/>
    <w:rsid w:val="004910DF"/>
    <w:rsid w:val="004912F1"/>
    <w:rsid w:val="0049152F"/>
    <w:rsid w:val="0049192B"/>
    <w:rsid w:val="00491CB4"/>
    <w:rsid w:val="00491D31"/>
    <w:rsid w:val="00491E20"/>
    <w:rsid w:val="00492878"/>
    <w:rsid w:val="004928D6"/>
    <w:rsid w:val="00492B7E"/>
    <w:rsid w:val="00492B80"/>
    <w:rsid w:val="00492F31"/>
    <w:rsid w:val="00492FAF"/>
    <w:rsid w:val="004931C1"/>
    <w:rsid w:val="0049347A"/>
    <w:rsid w:val="004934A4"/>
    <w:rsid w:val="004934B1"/>
    <w:rsid w:val="00493A27"/>
    <w:rsid w:val="00493EBF"/>
    <w:rsid w:val="0049440D"/>
    <w:rsid w:val="004945E3"/>
    <w:rsid w:val="0049499A"/>
    <w:rsid w:val="00494DF1"/>
    <w:rsid w:val="00495B92"/>
    <w:rsid w:val="00496053"/>
    <w:rsid w:val="00496104"/>
    <w:rsid w:val="004963DF"/>
    <w:rsid w:val="004964CB"/>
    <w:rsid w:val="004966B0"/>
    <w:rsid w:val="004967F4"/>
    <w:rsid w:val="00496A53"/>
    <w:rsid w:val="00496B67"/>
    <w:rsid w:val="00496B79"/>
    <w:rsid w:val="0049720A"/>
    <w:rsid w:val="0049727A"/>
    <w:rsid w:val="004972A4"/>
    <w:rsid w:val="004972C3"/>
    <w:rsid w:val="0049745C"/>
    <w:rsid w:val="00497789"/>
    <w:rsid w:val="0049779D"/>
    <w:rsid w:val="004977C2"/>
    <w:rsid w:val="00497949"/>
    <w:rsid w:val="00497D91"/>
    <w:rsid w:val="00497E85"/>
    <w:rsid w:val="004A09CF"/>
    <w:rsid w:val="004A0A6B"/>
    <w:rsid w:val="004A0B34"/>
    <w:rsid w:val="004A0CCD"/>
    <w:rsid w:val="004A1277"/>
    <w:rsid w:val="004A129E"/>
    <w:rsid w:val="004A1B54"/>
    <w:rsid w:val="004A1BDB"/>
    <w:rsid w:val="004A1CEE"/>
    <w:rsid w:val="004A1DA0"/>
    <w:rsid w:val="004A1F30"/>
    <w:rsid w:val="004A21A0"/>
    <w:rsid w:val="004A23F7"/>
    <w:rsid w:val="004A2450"/>
    <w:rsid w:val="004A2B3B"/>
    <w:rsid w:val="004A3163"/>
    <w:rsid w:val="004A34DE"/>
    <w:rsid w:val="004A3CA5"/>
    <w:rsid w:val="004A3E8B"/>
    <w:rsid w:val="004A3F0F"/>
    <w:rsid w:val="004A404D"/>
    <w:rsid w:val="004A4528"/>
    <w:rsid w:val="004A45A9"/>
    <w:rsid w:val="004A45EC"/>
    <w:rsid w:val="004A46EA"/>
    <w:rsid w:val="004A4DDD"/>
    <w:rsid w:val="004A542F"/>
    <w:rsid w:val="004A5A1F"/>
    <w:rsid w:val="004A5C8D"/>
    <w:rsid w:val="004A5CFD"/>
    <w:rsid w:val="004A5ED3"/>
    <w:rsid w:val="004A5EE1"/>
    <w:rsid w:val="004A6275"/>
    <w:rsid w:val="004A62D9"/>
    <w:rsid w:val="004A62E3"/>
    <w:rsid w:val="004A632C"/>
    <w:rsid w:val="004A64FF"/>
    <w:rsid w:val="004A6FE1"/>
    <w:rsid w:val="004A713A"/>
    <w:rsid w:val="004A7266"/>
    <w:rsid w:val="004A7355"/>
    <w:rsid w:val="004A74FB"/>
    <w:rsid w:val="004A7751"/>
    <w:rsid w:val="004A7B7F"/>
    <w:rsid w:val="004A7D70"/>
    <w:rsid w:val="004A7F51"/>
    <w:rsid w:val="004B0773"/>
    <w:rsid w:val="004B08EE"/>
    <w:rsid w:val="004B09B2"/>
    <w:rsid w:val="004B0B8C"/>
    <w:rsid w:val="004B0BD7"/>
    <w:rsid w:val="004B0C0A"/>
    <w:rsid w:val="004B0D72"/>
    <w:rsid w:val="004B0D76"/>
    <w:rsid w:val="004B0FC9"/>
    <w:rsid w:val="004B135E"/>
    <w:rsid w:val="004B16EF"/>
    <w:rsid w:val="004B19E0"/>
    <w:rsid w:val="004B1AED"/>
    <w:rsid w:val="004B1D7F"/>
    <w:rsid w:val="004B1DD1"/>
    <w:rsid w:val="004B292C"/>
    <w:rsid w:val="004B30AE"/>
    <w:rsid w:val="004B3AC6"/>
    <w:rsid w:val="004B3B83"/>
    <w:rsid w:val="004B3E50"/>
    <w:rsid w:val="004B3F56"/>
    <w:rsid w:val="004B409E"/>
    <w:rsid w:val="004B41F0"/>
    <w:rsid w:val="004B439A"/>
    <w:rsid w:val="004B458A"/>
    <w:rsid w:val="004B469F"/>
    <w:rsid w:val="004B47C7"/>
    <w:rsid w:val="004B4934"/>
    <w:rsid w:val="004B4B58"/>
    <w:rsid w:val="004B4B6B"/>
    <w:rsid w:val="004B4CED"/>
    <w:rsid w:val="004B4E36"/>
    <w:rsid w:val="004B52FD"/>
    <w:rsid w:val="004B533D"/>
    <w:rsid w:val="004B546E"/>
    <w:rsid w:val="004B55EA"/>
    <w:rsid w:val="004B55F5"/>
    <w:rsid w:val="004B55FD"/>
    <w:rsid w:val="004B56AC"/>
    <w:rsid w:val="004B5AEA"/>
    <w:rsid w:val="004B5D54"/>
    <w:rsid w:val="004B5EEE"/>
    <w:rsid w:val="004B6109"/>
    <w:rsid w:val="004B613E"/>
    <w:rsid w:val="004B64C7"/>
    <w:rsid w:val="004B65E3"/>
    <w:rsid w:val="004B6B23"/>
    <w:rsid w:val="004B6C16"/>
    <w:rsid w:val="004B776F"/>
    <w:rsid w:val="004B77A0"/>
    <w:rsid w:val="004B77C1"/>
    <w:rsid w:val="004B7826"/>
    <w:rsid w:val="004B79A8"/>
    <w:rsid w:val="004B7B8E"/>
    <w:rsid w:val="004B7B98"/>
    <w:rsid w:val="004B7E97"/>
    <w:rsid w:val="004B7F6F"/>
    <w:rsid w:val="004C019A"/>
    <w:rsid w:val="004C0401"/>
    <w:rsid w:val="004C0501"/>
    <w:rsid w:val="004C0742"/>
    <w:rsid w:val="004C09F3"/>
    <w:rsid w:val="004C0B42"/>
    <w:rsid w:val="004C0F9F"/>
    <w:rsid w:val="004C0FC5"/>
    <w:rsid w:val="004C10B7"/>
    <w:rsid w:val="004C10CC"/>
    <w:rsid w:val="004C1644"/>
    <w:rsid w:val="004C1966"/>
    <w:rsid w:val="004C1A1F"/>
    <w:rsid w:val="004C1A64"/>
    <w:rsid w:val="004C1E00"/>
    <w:rsid w:val="004C2221"/>
    <w:rsid w:val="004C22B9"/>
    <w:rsid w:val="004C258C"/>
    <w:rsid w:val="004C2764"/>
    <w:rsid w:val="004C2967"/>
    <w:rsid w:val="004C29E9"/>
    <w:rsid w:val="004C2CFF"/>
    <w:rsid w:val="004C30BC"/>
    <w:rsid w:val="004C31EB"/>
    <w:rsid w:val="004C324F"/>
    <w:rsid w:val="004C3900"/>
    <w:rsid w:val="004C399F"/>
    <w:rsid w:val="004C3A6F"/>
    <w:rsid w:val="004C3C23"/>
    <w:rsid w:val="004C3C2C"/>
    <w:rsid w:val="004C410A"/>
    <w:rsid w:val="004C4345"/>
    <w:rsid w:val="004C4811"/>
    <w:rsid w:val="004C4A42"/>
    <w:rsid w:val="004C4CD0"/>
    <w:rsid w:val="004C5023"/>
    <w:rsid w:val="004C5826"/>
    <w:rsid w:val="004C5A4A"/>
    <w:rsid w:val="004C5D0E"/>
    <w:rsid w:val="004C5E58"/>
    <w:rsid w:val="004C5FF8"/>
    <w:rsid w:val="004C64E7"/>
    <w:rsid w:val="004C6668"/>
    <w:rsid w:val="004C6B5E"/>
    <w:rsid w:val="004C6E31"/>
    <w:rsid w:val="004C6F3F"/>
    <w:rsid w:val="004C6FA7"/>
    <w:rsid w:val="004C70F3"/>
    <w:rsid w:val="004C716B"/>
    <w:rsid w:val="004C7437"/>
    <w:rsid w:val="004C79F1"/>
    <w:rsid w:val="004C7B88"/>
    <w:rsid w:val="004C7E06"/>
    <w:rsid w:val="004C7E4B"/>
    <w:rsid w:val="004D0227"/>
    <w:rsid w:val="004D0290"/>
    <w:rsid w:val="004D0A15"/>
    <w:rsid w:val="004D0B0D"/>
    <w:rsid w:val="004D0C39"/>
    <w:rsid w:val="004D0CD2"/>
    <w:rsid w:val="004D10E4"/>
    <w:rsid w:val="004D118C"/>
    <w:rsid w:val="004D128E"/>
    <w:rsid w:val="004D12A5"/>
    <w:rsid w:val="004D1548"/>
    <w:rsid w:val="004D16B1"/>
    <w:rsid w:val="004D17D3"/>
    <w:rsid w:val="004D1A06"/>
    <w:rsid w:val="004D1AED"/>
    <w:rsid w:val="004D1F5A"/>
    <w:rsid w:val="004D2022"/>
    <w:rsid w:val="004D2166"/>
    <w:rsid w:val="004D2646"/>
    <w:rsid w:val="004D2795"/>
    <w:rsid w:val="004D29E3"/>
    <w:rsid w:val="004D31A8"/>
    <w:rsid w:val="004D3383"/>
    <w:rsid w:val="004D34A7"/>
    <w:rsid w:val="004D3713"/>
    <w:rsid w:val="004D3B4B"/>
    <w:rsid w:val="004D3D4D"/>
    <w:rsid w:val="004D3DD6"/>
    <w:rsid w:val="004D4324"/>
    <w:rsid w:val="004D4456"/>
    <w:rsid w:val="004D4495"/>
    <w:rsid w:val="004D4726"/>
    <w:rsid w:val="004D4CB7"/>
    <w:rsid w:val="004D4D80"/>
    <w:rsid w:val="004D5000"/>
    <w:rsid w:val="004D5020"/>
    <w:rsid w:val="004D52AC"/>
    <w:rsid w:val="004D54FB"/>
    <w:rsid w:val="004D5619"/>
    <w:rsid w:val="004D5712"/>
    <w:rsid w:val="004D58C5"/>
    <w:rsid w:val="004D5D3E"/>
    <w:rsid w:val="004D5F90"/>
    <w:rsid w:val="004D60A0"/>
    <w:rsid w:val="004D614E"/>
    <w:rsid w:val="004D646F"/>
    <w:rsid w:val="004D6493"/>
    <w:rsid w:val="004D6968"/>
    <w:rsid w:val="004D6AC3"/>
    <w:rsid w:val="004D6CDD"/>
    <w:rsid w:val="004D6D5B"/>
    <w:rsid w:val="004D6D87"/>
    <w:rsid w:val="004D7226"/>
    <w:rsid w:val="004D7648"/>
    <w:rsid w:val="004D7713"/>
    <w:rsid w:val="004D788D"/>
    <w:rsid w:val="004D78DE"/>
    <w:rsid w:val="004D7AFD"/>
    <w:rsid w:val="004D7D12"/>
    <w:rsid w:val="004D7F8B"/>
    <w:rsid w:val="004D7FD4"/>
    <w:rsid w:val="004E0275"/>
    <w:rsid w:val="004E02AD"/>
    <w:rsid w:val="004E0351"/>
    <w:rsid w:val="004E04DB"/>
    <w:rsid w:val="004E06A6"/>
    <w:rsid w:val="004E071F"/>
    <w:rsid w:val="004E0B7B"/>
    <w:rsid w:val="004E0D41"/>
    <w:rsid w:val="004E1225"/>
    <w:rsid w:val="004E1638"/>
    <w:rsid w:val="004E17FE"/>
    <w:rsid w:val="004E1EAE"/>
    <w:rsid w:val="004E1FB0"/>
    <w:rsid w:val="004E207E"/>
    <w:rsid w:val="004E2593"/>
    <w:rsid w:val="004E266B"/>
    <w:rsid w:val="004E2761"/>
    <w:rsid w:val="004E277D"/>
    <w:rsid w:val="004E28C3"/>
    <w:rsid w:val="004E29A8"/>
    <w:rsid w:val="004E338F"/>
    <w:rsid w:val="004E39FA"/>
    <w:rsid w:val="004E3AF0"/>
    <w:rsid w:val="004E3BBF"/>
    <w:rsid w:val="004E3BD7"/>
    <w:rsid w:val="004E3CD2"/>
    <w:rsid w:val="004E4052"/>
    <w:rsid w:val="004E4451"/>
    <w:rsid w:val="004E47E0"/>
    <w:rsid w:val="004E48CE"/>
    <w:rsid w:val="004E4B1C"/>
    <w:rsid w:val="004E4C51"/>
    <w:rsid w:val="004E4C69"/>
    <w:rsid w:val="004E55D8"/>
    <w:rsid w:val="004E561E"/>
    <w:rsid w:val="004E57F4"/>
    <w:rsid w:val="004E5A42"/>
    <w:rsid w:val="004E5A7C"/>
    <w:rsid w:val="004E5E58"/>
    <w:rsid w:val="004E5E9F"/>
    <w:rsid w:val="004E6085"/>
    <w:rsid w:val="004E61FA"/>
    <w:rsid w:val="004E6499"/>
    <w:rsid w:val="004E655F"/>
    <w:rsid w:val="004E6720"/>
    <w:rsid w:val="004E6ACB"/>
    <w:rsid w:val="004E6B31"/>
    <w:rsid w:val="004E6E22"/>
    <w:rsid w:val="004E6ECF"/>
    <w:rsid w:val="004E706D"/>
    <w:rsid w:val="004E726C"/>
    <w:rsid w:val="004E741E"/>
    <w:rsid w:val="004E7849"/>
    <w:rsid w:val="004E7BFD"/>
    <w:rsid w:val="004E7D4D"/>
    <w:rsid w:val="004E7EC6"/>
    <w:rsid w:val="004F01DE"/>
    <w:rsid w:val="004F072C"/>
    <w:rsid w:val="004F079C"/>
    <w:rsid w:val="004F0C99"/>
    <w:rsid w:val="004F10F9"/>
    <w:rsid w:val="004F149D"/>
    <w:rsid w:val="004F15C3"/>
    <w:rsid w:val="004F16B0"/>
    <w:rsid w:val="004F1AF8"/>
    <w:rsid w:val="004F1BE1"/>
    <w:rsid w:val="004F1D85"/>
    <w:rsid w:val="004F1FAB"/>
    <w:rsid w:val="004F205C"/>
    <w:rsid w:val="004F22F3"/>
    <w:rsid w:val="004F242D"/>
    <w:rsid w:val="004F2A8E"/>
    <w:rsid w:val="004F2C7A"/>
    <w:rsid w:val="004F30ED"/>
    <w:rsid w:val="004F312E"/>
    <w:rsid w:val="004F31F1"/>
    <w:rsid w:val="004F3391"/>
    <w:rsid w:val="004F378A"/>
    <w:rsid w:val="004F3BFF"/>
    <w:rsid w:val="004F3D46"/>
    <w:rsid w:val="004F3F4E"/>
    <w:rsid w:val="004F4210"/>
    <w:rsid w:val="004F4683"/>
    <w:rsid w:val="004F4940"/>
    <w:rsid w:val="004F4DB1"/>
    <w:rsid w:val="004F4EB8"/>
    <w:rsid w:val="004F4F04"/>
    <w:rsid w:val="004F5057"/>
    <w:rsid w:val="004F5205"/>
    <w:rsid w:val="004F52B4"/>
    <w:rsid w:val="004F553B"/>
    <w:rsid w:val="004F55B0"/>
    <w:rsid w:val="004F5710"/>
    <w:rsid w:val="004F5BD1"/>
    <w:rsid w:val="004F5D8F"/>
    <w:rsid w:val="004F6000"/>
    <w:rsid w:val="004F6051"/>
    <w:rsid w:val="004F63B5"/>
    <w:rsid w:val="004F64DC"/>
    <w:rsid w:val="004F6C41"/>
    <w:rsid w:val="004F7294"/>
    <w:rsid w:val="004F7573"/>
    <w:rsid w:val="004F790A"/>
    <w:rsid w:val="00500113"/>
    <w:rsid w:val="0050021B"/>
    <w:rsid w:val="0050024B"/>
    <w:rsid w:val="005002B0"/>
    <w:rsid w:val="0050044B"/>
    <w:rsid w:val="0050056A"/>
    <w:rsid w:val="0050061A"/>
    <w:rsid w:val="00500B4F"/>
    <w:rsid w:val="00500CBB"/>
    <w:rsid w:val="00500F9A"/>
    <w:rsid w:val="0050113B"/>
    <w:rsid w:val="005014DA"/>
    <w:rsid w:val="00501626"/>
    <w:rsid w:val="00501722"/>
    <w:rsid w:val="00501B4F"/>
    <w:rsid w:val="00501C36"/>
    <w:rsid w:val="00501EE6"/>
    <w:rsid w:val="005027DF"/>
    <w:rsid w:val="00502912"/>
    <w:rsid w:val="00503363"/>
    <w:rsid w:val="00503739"/>
    <w:rsid w:val="0050374F"/>
    <w:rsid w:val="00503A63"/>
    <w:rsid w:val="00503EB2"/>
    <w:rsid w:val="005040B3"/>
    <w:rsid w:val="005045FF"/>
    <w:rsid w:val="005046FE"/>
    <w:rsid w:val="005047E6"/>
    <w:rsid w:val="00504BF7"/>
    <w:rsid w:val="00504C3A"/>
    <w:rsid w:val="00504E5F"/>
    <w:rsid w:val="0050503C"/>
    <w:rsid w:val="005051BE"/>
    <w:rsid w:val="00505234"/>
    <w:rsid w:val="0050537D"/>
    <w:rsid w:val="00505608"/>
    <w:rsid w:val="0050577D"/>
    <w:rsid w:val="00505866"/>
    <w:rsid w:val="00505B60"/>
    <w:rsid w:val="00505C30"/>
    <w:rsid w:val="00505D2E"/>
    <w:rsid w:val="00505EB3"/>
    <w:rsid w:val="00505FF1"/>
    <w:rsid w:val="005060F5"/>
    <w:rsid w:val="005062EE"/>
    <w:rsid w:val="0050632C"/>
    <w:rsid w:val="00506516"/>
    <w:rsid w:val="00506561"/>
    <w:rsid w:val="005066BA"/>
    <w:rsid w:val="00506988"/>
    <w:rsid w:val="005069F7"/>
    <w:rsid w:val="00506A2A"/>
    <w:rsid w:val="00507105"/>
    <w:rsid w:val="00507123"/>
    <w:rsid w:val="0050734E"/>
    <w:rsid w:val="00507768"/>
    <w:rsid w:val="00507898"/>
    <w:rsid w:val="00507AA8"/>
    <w:rsid w:val="00507E44"/>
    <w:rsid w:val="0051018B"/>
    <w:rsid w:val="00510279"/>
    <w:rsid w:val="00510394"/>
    <w:rsid w:val="005103A7"/>
    <w:rsid w:val="005103A9"/>
    <w:rsid w:val="0051075D"/>
    <w:rsid w:val="005109ED"/>
    <w:rsid w:val="00510D3E"/>
    <w:rsid w:val="00510D91"/>
    <w:rsid w:val="00510E77"/>
    <w:rsid w:val="00510EF6"/>
    <w:rsid w:val="0051107D"/>
    <w:rsid w:val="00511486"/>
    <w:rsid w:val="0051150C"/>
    <w:rsid w:val="00511773"/>
    <w:rsid w:val="00511900"/>
    <w:rsid w:val="00511913"/>
    <w:rsid w:val="00511E4D"/>
    <w:rsid w:val="00511F34"/>
    <w:rsid w:val="00512073"/>
    <w:rsid w:val="00512327"/>
    <w:rsid w:val="00512373"/>
    <w:rsid w:val="00512456"/>
    <w:rsid w:val="00512525"/>
    <w:rsid w:val="00512573"/>
    <w:rsid w:val="005128D6"/>
    <w:rsid w:val="00512A24"/>
    <w:rsid w:val="00512AA9"/>
    <w:rsid w:val="00512BC0"/>
    <w:rsid w:val="00512E21"/>
    <w:rsid w:val="00513080"/>
    <w:rsid w:val="005131FA"/>
    <w:rsid w:val="00513488"/>
    <w:rsid w:val="00513665"/>
    <w:rsid w:val="0051383B"/>
    <w:rsid w:val="00513CC2"/>
    <w:rsid w:val="00514263"/>
    <w:rsid w:val="0051473E"/>
    <w:rsid w:val="00514EA2"/>
    <w:rsid w:val="00515035"/>
    <w:rsid w:val="005151EA"/>
    <w:rsid w:val="005151EE"/>
    <w:rsid w:val="005156DF"/>
    <w:rsid w:val="00515B57"/>
    <w:rsid w:val="005163E4"/>
    <w:rsid w:val="0051652F"/>
    <w:rsid w:val="005166A5"/>
    <w:rsid w:val="00516E37"/>
    <w:rsid w:val="00516E46"/>
    <w:rsid w:val="005171F5"/>
    <w:rsid w:val="005173F1"/>
    <w:rsid w:val="00517781"/>
    <w:rsid w:val="00517B78"/>
    <w:rsid w:val="00520202"/>
    <w:rsid w:val="005202E8"/>
    <w:rsid w:val="00520522"/>
    <w:rsid w:val="005205AA"/>
    <w:rsid w:val="005206DE"/>
    <w:rsid w:val="00520F67"/>
    <w:rsid w:val="00520FA0"/>
    <w:rsid w:val="005210DC"/>
    <w:rsid w:val="00521831"/>
    <w:rsid w:val="0052188D"/>
    <w:rsid w:val="00521E98"/>
    <w:rsid w:val="00522601"/>
    <w:rsid w:val="0052281C"/>
    <w:rsid w:val="00522851"/>
    <w:rsid w:val="00522929"/>
    <w:rsid w:val="00522A61"/>
    <w:rsid w:val="00522AAB"/>
    <w:rsid w:val="00522BA4"/>
    <w:rsid w:val="00522C43"/>
    <w:rsid w:val="00522FF3"/>
    <w:rsid w:val="005231D4"/>
    <w:rsid w:val="0052390A"/>
    <w:rsid w:val="00523C46"/>
    <w:rsid w:val="00523DCB"/>
    <w:rsid w:val="005241D7"/>
    <w:rsid w:val="00524492"/>
    <w:rsid w:val="00524670"/>
    <w:rsid w:val="005248C7"/>
    <w:rsid w:val="00524B7B"/>
    <w:rsid w:val="00524C4C"/>
    <w:rsid w:val="00524F9A"/>
    <w:rsid w:val="0052514F"/>
    <w:rsid w:val="005253C1"/>
    <w:rsid w:val="00525423"/>
    <w:rsid w:val="00525A4C"/>
    <w:rsid w:val="00525D6C"/>
    <w:rsid w:val="0052637D"/>
    <w:rsid w:val="00526610"/>
    <w:rsid w:val="00526830"/>
    <w:rsid w:val="00526841"/>
    <w:rsid w:val="00526938"/>
    <w:rsid w:val="005269E6"/>
    <w:rsid w:val="00526C2F"/>
    <w:rsid w:val="00526D7F"/>
    <w:rsid w:val="005271E5"/>
    <w:rsid w:val="005276B9"/>
    <w:rsid w:val="005277BD"/>
    <w:rsid w:val="00530012"/>
    <w:rsid w:val="0053065D"/>
    <w:rsid w:val="00530F13"/>
    <w:rsid w:val="005316FB"/>
    <w:rsid w:val="00531918"/>
    <w:rsid w:val="00531921"/>
    <w:rsid w:val="005319A9"/>
    <w:rsid w:val="00531A57"/>
    <w:rsid w:val="00531AC1"/>
    <w:rsid w:val="00531C97"/>
    <w:rsid w:val="0053246C"/>
    <w:rsid w:val="00532943"/>
    <w:rsid w:val="00532B27"/>
    <w:rsid w:val="00532C56"/>
    <w:rsid w:val="00532D5C"/>
    <w:rsid w:val="00532E0F"/>
    <w:rsid w:val="00533C86"/>
    <w:rsid w:val="00533E84"/>
    <w:rsid w:val="00534180"/>
    <w:rsid w:val="005341AF"/>
    <w:rsid w:val="0053427B"/>
    <w:rsid w:val="0053428C"/>
    <w:rsid w:val="005342EC"/>
    <w:rsid w:val="00534467"/>
    <w:rsid w:val="005348A4"/>
    <w:rsid w:val="00534BDE"/>
    <w:rsid w:val="00534EF1"/>
    <w:rsid w:val="00534F53"/>
    <w:rsid w:val="005352AD"/>
    <w:rsid w:val="005355FA"/>
    <w:rsid w:val="00535647"/>
    <w:rsid w:val="00535834"/>
    <w:rsid w:val="005359DC"/>
    <w:rsid w:val="00535A42"/>
    <w:rsid w:val="00535A9A"/>
    <w:rsid w:val="00535B0D"/>
    <w:rsid w:val="00535E37"/>
    <w:rsid w:val="0053663D"/>
    <w:rsid w:val="005367DD"/>
    <w:rsid w:val="00536FD1"/>
    <w:rsid w:val="005370A4"/>
    <w:rsid w:val="00537272"/>
    <w:rsid w:val="00537372"/>
    <w:rsid w:val="00537589"/>
    <w:rsid w:val="00537B0A"/>
    <w:rsid w:val="00537C32"/>
    <w:rsid w:val="00537CD9"/>
    <w:rsid w:val="00537F97"/>
    <w:rsid w:val="00540036"/>
    <w:rsid w:val="0054008A"/>
    <w:rsid w:val="005405BF"/>
    <w:rsid w:val="005405D6"/>
    <w:rsid w:val="0054090C"/>
    <w:rsid w:val="00540CA1"/>
    <w:rsid w:val="00540DBA"/>
    <w:rsid w:val="00540DDE"/>
    <w:rsid w:val="00540E62"/>
    <w:rsid w:val="0054113A"/>
    <w:rsid w:val="00541359"/>
    <w:rsid w:val="0054164F"/>
    <w:rsid w:val="0054174D"/>
    <w:rsid w:val="00541AC5"/>
    <w:rsid w:val="00541D1F"/>
    <w:rsid w:val="00541EBB"/>
    <w:rsid w:val="00542044"/>
    <w:rsid w:val="00542080"/>
    <w:rsid w:val="005428D1"/>
    <w:rsid w:val="00542A83"/>
    <w:rsid w:val="00542AF1"/>
    <w:rsid w:val="00542E9B"/>
    <w:rsid w:val="00542F0F"/>
    <w:rsid w:val="0054348A"/>
    <w:rsid w:val="0054356F"/>
    <w:rsid w:val="00543966"/>
    <w:rsid w:val="00543C28"/>
    <w:rsid w:val="00543D82"/>
    <w:rsid w:val="00543FD5"/>
    <w:rsid w:val="0054462B"/>
    <w:rsid w:val="0054479D"/>
    <w:rsid w:val="0054485F"/>
    <w:rsid w:val="005451D7"/>
    <w:rsid w:val="005452B9"/>
    <w:rsid w:val="00545731"/>
    <w:rsid w:val="00545936"/>
    <w:rsid w:val="00545B31"/>
    <w:rsid w:val="00545D28"/>
    <w:rsid w:val="00545E0A"/>
    <w:rsid w:val="00545EB0"/>
    <w:rsid w:val="00545FF1"/>
    <w:rsid w:val="00546025"/>
    <w:rsid w:val="00546541"/>
    <w:rsid w:val="0054695D"/>
    <w:rsid w:val="00546D56"/>
    <w:rsid w:val="00546DEB"/>
    <w:rsid w:val="00546F6A"/>
    <w:rsid w:val="0054700D"/>
    <w:rsid w:val="005470F1"/>
    <w:rsid w:val="0055031D"/>
    <w:rsid w:val="005503A7"/>
    <w:rsid w:val="00550511"/>
    <w:rsid w:val="005506FD"/>
    <w:rsid w:val="0055078B"/>
    <w:rsid w:val="005510E7"/>
    <w:rsid w:val="00551626"/>
    <w:rsid w:val="00551A4D"/>
    <w:rsid w:val="00551B27"/>
    <w:rsid w:val="005521F8"/>
    <w:rsid w:val="0055269A"/>
    <w:rsid w:val="0055280D"/>
    <w:rsid w:val="00552AC3"/>
    <w:rsid w:val="0055385C"/>
    <w:rsid w:val="00553A79"/>
    <w:rsid w:val="00553AE5"/>
    <w:rsid w:val="00553C10"/>
    <w:rsid w:val="0055411E"/>
    <w:rsid w:val="005544DD"/>
    <w:rsid w:val="005547F0"/>
    <w:rsid w:val="0055484D"/>
    <w:rsid w:val="00554EC5"/>
    <w:rsid w:val="005553B5"/>
    <w:rsid w:val="005557BB"/>
    <w:rsid w:val="00555CE2"/>
    <w:rsid w:val="00555EA4"/>
    <w:rsid w:val="005560D7"/>
    <w:rsid w:val="005562D9"/>
    <w:rsid w:val="00556445"/>
    <w:rsid w:val="00556853"/>
    <w:rsid w:val="00556BD4"/>
    <w:rsid w:val="00556D8E"/>
    <w:rsid w:val="00557087"/>
    <w:rsid w:val="00557538"/>
    <w:rsid w:val="0055770F"/>
    <w:rsid w:val="005578E0"/>
    <w:rsid w:val="00557B1D"/>
    <w:rsid w:val="00557C21"/>
    <w:rsid w:val="00557CDC"/>
    <w:rsid w:val="00557FEA"/>
    <w:rsid w:val="0056005C"/>
    <w:rsid w:val="0056064B"/>
    <w:rsid w:val="00560660"/>
    <w:rsid w:val="005606A9"/>
    <w:rsid w:val="005606F6"/>
    <w:rsid w:val="0056072E"/>
    <w:rsid w:val="0056073A"/>
    <w:rsid w:val="005607F3"/>
    <w:rsid w:val="00560819"/>
    <w:rsid w:val="005609DC"/>
    <w:rsid w:val="00561154"/>
    <w:rsid w:val="00561206"/>
    <w:rsid w:val="0056145B"/>
    <w:rsid w:val="005615FC"/>
    <w:rsid w:val="005616D2"/>
    <w:rsid w:val="0056178C"/>
    <w:rsid w:val="00561923"/>
    <w:rsid w:val="00561C1A"/>
    <w:rsid w:val="0056244E"/>
    <w:rsid w:val="00562489"/>
    <w:rsid w:val="00562C6E"/>
    <w:rsid w:val="00563032"/>
    <w:rsid w:val="005632E8"/>
    <w:rsid w:val="00563928"/>
    <w:rsid w:val="00563AD4"/>
    <w:rsid w:val="00563EE5"/>
    <w:rsid w:val="00563F65"/>
    <w:rsid w:val="00563FF4"/>
    <w:rsid w:val="005641B5"/>
    <w:rsid w:val="005641CF"/>
    <w:rsid w:val="005645C3"/>
    <w:rsid w:val="00564604"/>
    <w:rsid w:val="00564650"/>
    <w:rsid w:val="0056498D"/>
    <w:rsid w:val="00564C15"/>
    <w:rsid w:val="005653EB"/>
    <w:rsid w:val="005655E6"/>
    <w:rsid w:val="005659F9"/>
    <w:rsid w:val="00565C1E"/>
    <w:rsid w:val="00565F9B"/>
    <w:rsid w:val="00566315"/>
    <w:rsid w:val="00566439"/>
    <w:rsid w:val="00566670"/>
    <w:rsid w:val="0056668D"/>
    <w:rsid w:val="00566AF1"/>
    <w:rsid w:val="00566CFB"/>
    <w:rsid w:val="00566E2B"/>
    <w:rsid w:val="00566EF7"/>
    <w:rsid w:val="00567083"/>
    <w:rsid w:val="005672A8"/>
    <w:rsid w:val="005673B3"/>
    <w:rsid w:val="005674DA"/>
    <w:rsid w:val="005676A8"/>
    <w:rsid w:val="00567751"/>
    <w:rsid w:val="00567B7F"/>
    <w:rsid w:val="00570241"/>
    <w:rsid w:val="00570560"/>
    <w:rsid w:val="00570639"/>
    <w:rsid w:val="005706F4"/>
    <w:rsid w:val="005709AD"/>
    <w:rsid w:val="00570F5B"/>
    <w:rsid w:val="00570FFC"/>
    <w:rsid w:val="005713A0"/>
    <w:rsid w:val="005714F8"/>
    <w:rsid w:val="0057173C"/>
    <w:rsid w:val="00571912"/>
    <w:rsid w:val="00571F14"/>
    <w:rsid w:val="0057200A"/>
    <w:rsid w:val="00572189"/>
    <w:rsid w:val="00572A94"/>
    <w:rsid w:val="00572C17"/>
    <w:rsid w:val="00572F52"/>
    <w:rsid w:val="005732B9"/>
    <w:rsid w:val="00573344"/>
    <w:rsid w:val="0057337E"/>
    <w:rsid w:val="0057338D"/>
    <w:rsid w:val="00573853"/>
    <w:rsid w:val="00573BA3"/>
    <w:rsid w:val="00573EB6"/>
    <w:rsid w:val="00573F1D"/>
    <w:rsid w:val="00574524"/>
    <w:rsid w:val="00574749"/>
    <w:rsid w:val="00574776"/>
    <w:rsid w:val="005748A4"/>
    <w:rsid w:val="005749CA"/>
    <w:rsid w:val="00574CD7"/>
    <w:rsid w:val="0057506C"/>
    <w:rsid w:val="00575162"/>
    <w:rsid w:val="005751F2"/>
    <w:rsid w:val="00575445"/>
    <w:rsid w:val="00575927"/>
    <w:rsid w:val="00575B77"/>
    <w:rsid w:val="00575F8B"/>
    <w:rsid w:val="005761AA"/>
    <w:rsid w:val="00576492"/>
    <w:rsid w:val="005768BB"/>
    <w:rsid w:val="00576979"/>
    <w:rsid w:val="00576AF8"/>
    <w:rsid w:val="00576C42"/>
    <w:rsid w:val="00576C47"/>
    <w:rsid w:val="00576C6E"/>
    <w:rsid w:val="00576D53"/>
    <w:rsid w:val="00576E55"/>
    <w:rsid w:val="00576EBD"/>
    <w:rsid w:val="00577226"/>
    <w:rsid w:val="0057729A"/>
    <w:rsid w:val="005775E6"/>
    <w:rsid w:val="00577737"/>
    <w:rsid w:val="00577F7B"/>
    <w:rsid w:val="00580260"/>
    <w:rsid w:val="005805DD"/>
    <w:rsid w:val="00580673"/>
    <w:rsid w:val="00580752"/>
    <w:rsid w:val="00580AD2"/>
    <w:rsid w:val="00580DFE"/>
    <w:rsid w:val="00580EE5"/>
    <w:rsid w:val="0058127A"/>
    <w:rsid w:val="00581313"/>
    <w:rsid w:val="0058131F"/>
    <w:rsid w:val="00581E61"/>
    <w:rsid w:val="00581F9F"/>
    <w:rsid w:val="005820AF"/>
    <w:rsid w:val="00582157"/>
    <w:rsid w:val="005821EF"/>
    <w:rsid w:val="005822BD"/>
    <w:rsid w:val="005823E8"/>
    <w:rsid w:val="00582586"/>
    <w:rsid w:val="00582640"/>
    <w:rsid w:val="00582A04"/>
    <w:rsid w:val="00582B9D"/>
    <w:rsid w:val="00582C95"/>
    <w:rsid w:val="00582E89"/>
    <w:rsid w:val="00582F89"/>
    <w:rsid w:val="00582FA2"/>
    <w:rsid w:val="005832E6"/>
    <w:rsid w:val="0058339C"/>
    <w:rsid w:val="005833D0"/>
    <w:rsid w:val="00583738"/>
    <w:rsid w:val="00583871"/>
    <w:rsid w:val="00583C0A"/>
    <w:rsid w:val="00583E3A"/>
    <w:rsid w:val="00583FD4"/>
    <w:rsid w:val="0058413E"/>
    <w:rsid w:val="005843D8"/>
    <w:rsid w:val="00584BCC"/>
    <w:rsid w:val="00584E79"/>
    <w:rsid w:val="00584ECF"/>
    <w:rsid w:val="0058560D"/>
    <w:rsid w:val="005856E7"/>
    <w:rsid w:val="0058570C"/>
    <w:rsid w:val="00585A1E"/>
    <w:rsid w:val="00585A6F"/>
    <w:rsid w:val="00585C76"/>
    <w:rsid w:val="00585E59"/>
    <w:rsid w:val="0058600D"/>
    <w:rsid w:val="0058629B"/>
    <w:rsid w:val="005866A0"/>
    <w:rsid w:val="0058679D"/>
    <w:rsid w:val="00586A3B"/>
    <w:rsid w:val="005873C1"/>
    <w:rsid w:val="005876A0"/>
    <w:rsid w:val="00587FE5"/>
    <w:rsid w:val="00590563"/>
    <w:rsid w:val="005906E1"/>
    <w:rsid w:val="00590A67"/>
    <w:rsid w:val="00590DF2"/>
    <w:rsid w:val="00590EEE"/>
    <w:rsid w:val="00590FF4"/>
    <w:rsid w:val="00591396"/>
    <w:rsid w:val="005914C0"/>
    <w:rsid w:val="00591948"/>
    <w:rsid w:val="00591E01"/>
    <w:rsid w:val="005920F0"/>
    <w:rsid w:val="00592469"/>
    <w:rsid w:val="005925C9"/>
    <w:rsid w:val="0059267E"/>
    <w:rsid w:val="00592806"/>
    <w:rsid w:val="00592920"/>
    <w:rsid w:val="00592987"/>
    <w:rsid w:val="00592E39"/>
    <w:rsid w:val="005930DD"/>
    <w:rsid w:val="005932E9"/>
    <w:rsid w:val="00593307"/>
    <w:rsid w:val="0059355C"/>
    <w:rsid w:val="00593674"/>
    <w:rsid w:val="00593A6A"/>
    <w:rsid w:val="00593BCD"/>
    <w:rsid w:val="00593C7B"/>
    <w:rsid w:val="00593D9D"/>
    <w:rsid w:val="00593F0A"/>
    <w:rsid w:val="005940C6"/>
    <w:rsid w:val="00594112"/>
    <w:rsid w:val="00594259"/>
    <w:rsid w:val="0059454C"/>
    <w:rsid w:val="00594CB5"/>
    <w:rsid w:val="00594E01"/>
    <w:rsid w:val="00594F33"/>
    <w:rsid w:val="00594FB2"/>
    <w:rsid w:val="005954EF"/>
    <w:rsid w:val="0059580D"/>
    <w:rsid w:val="00595A4C"/>
    <w:rsid w:val="00596028"/>
    <w:rsid w:val="00596344"/>
    <w:rsid w:val="00596511"/>
    <w:rsid w:val="00596671"/>
    <w:rsid w:val="005967BE"/>
    <w:rsid w:val="0059696E"/>
    <w:rsid w:val="0059698C"/>
    <w:rsid w:val="00596A95"/>
    <w:rsid w:val="00596BE6"/>
    <w:rsid w:val="00596CA8"/>
    <w:rsid w:val="00596D29"/>
    <w:rsid w:val="00596DF6"/>
    <w:rsid w:val="0059704A"/>
    <w:rsid w:val="005970D1"/>
    <w:rsid w:val="00597163"/>
    <w:rsid w:val="00597285"/>
    <w:rsid w:val="00597485"/>
    <w:rsid w:val="0059752D"/>
    <w:rsid w:val="005975E0"/>
    <w:rsid w:val="005979F6"/>
    <w:rsid w:val="00597EEB"/>
    <w:rsid w:val="005A01F3"/>
    <w:rsid w:val="005A0599"/>
    <w:rsid w:val="005A0688"/>
    <w:rsid w:val="005A0789"/>
    <w:rsid w:val="005A08E7"/>
    <w:rsid w:val="005A1131"/>
    <w:rsid w:val="005A1277"/>
    <w:rsid w:val="005A1428"/>
    <w:rsid w:val="005A163E"/>
    <w:rsid w:val="005A1653"/>
    <w:rsid w:val="005A18F5"/>
    <w:rsid w:val="005A1ABB"/>
    <w:rsid w:val="005A202A"/>
    <w:rsid w:val="005A21F3"/>
    <w:rsid w:val="005A22AF"/>
    <w:rsid w:val="005A279B"/>
    <w:rsid w:val="005A2841"/>
    <w:rsid w:val="005A2D40"/>
    <w:rsid w:val="005A2F36"/>
    <w:rsid w:val="005A2FCE"/>
    <w:rsid w:val="005A3014"/>
    <w:rsid w:val="005A333C"/>
    <w:rsid w:val="005A34C8"/>
    <w:rsid w:val="005A3610"/>
    <w:rsid w:val="005A36E3"/>
    <w:rsid w:val="005A3B56"/>
    <w:rsid w:val="005A3C6A"/>
    <w:rsid w:val="005A3C6F"/>
    <w:rsid w:val="005A3F5F"/>
    <w:rsid w:val="005A40E0"/>
    <w:rsid w:val="005A420D"/>
    <w:rsid w:val="005A43DC"/>
    <w:rsid w:val="005A4431"/>
    <w:rsid w:val="005A4614"/>
    <w:rsid w:val="005A48A9"/>
    <w:rsid w:val="005A5105"/>
    <w:rsid w:val="005A53E9"/>
    <w:rsid w:val="005A543D"/>
    <w:rsid w:val="005A5684"/>
    <w:rsid w:val="005A5C1D"/>
    <w:rsid w:val="005A5C7E"/>
    <w:rsid w:val="005A61A2"/>
    <w:rsid w:val="005A62F5"/>
    <w:rsid w:val="005A658B"/>
    <w:rsid w:val="005A6711"/>
    <w:rsid w:val="005A6ACB"/>
    <w:rsid w:val="005A6DAB"/>
    <w:rsid w:val="005A71C2"/>
    <w:rsid w:val="005A768A"/>
    <w:rsid w:val="005A7DD7"/>
    <w:rsid w:val="005B0205"/>
    <w:rsid w:val="005B02CC"/>
    <w:rsid w:val="005B041C"/>
    <w:rsid w:val="005B04EC"/>
    <w:rsid w:val="005B0652"/>
    <w:rsid w:val="005B07A3"/>
    <w:rsid w:val="005B0CEF"/>
    <w:rsid w:val="005B0D8D"/>
    <w:rsid w:val="005B0EDE"/>
    <w:rsid w:val="005B10F0"/>
    <w:rsid w:val="005B149A"/>
    <w:rsid w:val="005B1554"/>
    <w:rsid w:val="005B16C3"/>
    <w:rsid w:val="005B16C7"/>
    <w:rsid w:val="005B194F"/>
    <w:rsid w:val="005B1CB2"/>
    <w:rsid w:val="005B1FD3"/>
    <w:rsid w:val="005B20D9"/>
    <w:rsid w:val="005B2196"/>
    <w:rsid w:val="005B2236"/>
    <w:rsid w:val="005B247E"/>
    <w:rsid w:val="005B2698"/>
    <w:rsid w:val="005B2764"/>
    <w:rsid w:val="005B2786"/>
    <w:rsid w:val="005B283D"/>
    <w:rsid w:val="005B28FC"/>
    <w:rsid w:val="005B2B40"/>
    <w:rsid w:val="005B2EB4"/>
    <w:rsid w:val="005B30E8"/>
    <w:rsid w:val="005B315C"/>
    <w:rsid w:val="005B3455"/>
    <w:rsid w:val="005B34A5"/>
    <w:rsid w:val="005B3737"/>
    <w:rsid w:val="005B38AD"/>
    <w:rsid w:val="005B396E"/>
    <w:rsid w:val="005B3C46"/>
    <w:rsid w:val="005B3C55"/>
    <w:rsid w:val="005B3D9F"/>
    <w:rsid w:val="005B4177"/>
    <w:rsid w:val="005B42E3"/>
    <w:rsid w:val="005B431B"/>
    <w:rsid w:val="005B4E95"/>
    <w:rsid w:val="005B50CB"/>
    <w:rsid w:val="005B517B"/>
    <w:rsid w:val="005B5865"/>
    <w:rsid w:val="005B6058"/>
    <w:rsid w:val="005B61CA"/>
    <w:rsid w:val="005B61CE"/>
    <w:rsid w:val="005B64CA"/>
    <w:rsid w:val="005B65F0"/>
    <w:rsid w:val="005B6BFC"/>
    <w:rsid w:val="005B6C78"/>
    <w:rsid w:val="005B6D25"/>
    <w:rsid w:val="005B6D53"/>
    <w:rsid w:val="005B73C1"/>
    <w:rsid w:val="005B74CD"/>
    <w:rsid w:val="005B77F0"/>
    <w:rsid w:val="005B78EE"/>
    <w:rsid w:val="005B7E22"/>
    <w:rsid w:val="005C0F04"/>
    <w:rsid w:val="005C10F3"/>
    <w:rsid w:val="005C1148"/>
    <w:rsid w:val="005C11D7"/>
    <w:rsid w:val="005C1498"/>
    <w:rsid w:val="005C178E"/>
    <w:rsid w:val="005C1A8F"/>
    <w:rsid w:val="005C1C67"/>
    <w:rsid w:val="005C1DC8"/>
    <w:rsid w:val="005C20BB"/>
    <w:rsid w:val="005C2546"/>
    <w:rsid w:val="005C2D73"/>
    <w:rsid w:val="005C2F6C"/>
    <w:rsid w:val="005C3760"/>
    <w:rsid w:val="005C39E5"/>
    <w:rsid w:val="005C3A21"/>
    <w:rsid w:val="005C3A40"/>
    <w:rsid w:val="005C3B81"/>
    <w:rsid w:val="005C3F33"/>
    <w:rsid w:val="005C3FD2"/>
    <w:rsid w:val="005C4037"/>
    <w:rsid w:val="005C4106"/>
    <w:rsid w:val="005C41A0"/>
    <w:rsid w:val="005C43AE"/>
    <w:rsid w:val="005C447B"/>
    <w:rsid w:val="005C44DD"/>
    <w:rsid w:val="005C450D"/>
    <w:rsid w:val="005C4735"/>
    <w:rsid w:val="005C47ED"/>
    <w:rsid w:val="005C48BA"/>
    <w:rsid w:val="005C4D3A"/>
    <w:rsid w:val="005C4EFE"/>
    <w:rsid w:val="005C4FA4"/>
    <w:rsid w:val="005C5308"/>
    <w:rsid w:val="005C565C"/>
    <w:rsid w:val="005C56EE"/>
    <w:rsid w:val="005C5ABB"/>
    <w:rsid w:val="005C5BDA"/>
    <w:rsid w:val="005C5D32"/>
    <w:rsid w:val="005C5D6C"/>
    <w:rsid w:val="005C6136"/>
    <w:rsid w:val="005C6383"/>
    <w:rsid w:val="005C6643"/>
    <w:rsid w:val="005C687B"/>
    <w:rsid w:val="005C6907"/>
    <w:rsid w:val="005C6909"/>
    <w:rsid w:val="005C6AAE"/>
    <w:rsid w:val="005C6B64"/>
    <w:rsid w:val="005C6F3E"/>
    <w:rsid w:val="005C7062"/>
    <w:rsid w:val="005C7159"/>
    <w:rsid w:val="005C71A6"/>
    <w:rsid w:val="005C763F"/>
    <w:rsid w:val="005C7712"/>
    <w:rsid w:val="005C79C0"/>
    <w:rsid w:val="005C7A9B"/>
    <w:rsid w:val="005C7E39"/>
    <w:rsid w:val="005D01E6"/>
    <w:rsid w:val="005D06B2"/>
    <w:rsid w:val="005D077D"/>
    <w:rsid w:val="005D0AD1"/>
    <w:rsid w:val="005D0C0D"/>
    <w:rsid w:val="005D0D44"/>
    <w:rsid w:val="005D1009"/>
    <w:rsid w:val="005D1467"/>
    <w:rsid w:val="005D19F2"/>
    <w:rsid w:val="005D1AAB"/>
    <w:rsid w:val="005D1F62"/>
    <w:rsid w:val="005D2168"/>
    <w:rsid w:val="005D252E"/>
    <w:rsid w:val="005D26B0"/>
    <w:rsid w:val="005D26CD"/>
    <w:rsid w:val="005D2794"/>
    <w:rsid w:val="005D2885"/>
    <w:rsid w:val="005D2FF4"/>
    <w:rsid w:val="005D301D"/>
    <w:rsid w:val="005D30D7"/>
    <w:rsid w:val="005D320A"/>
    <w:rsid w:val="005D3273"/>
    <w:rsid w:val="005D33B3"/>
    <w:rsid w:val="005D3524"/>
    <w:rsid w:val="005D37FD"/>
    <w:rsid w:val="005D3864"/>
    <w:rsid w:val="005D398F"/>
    <w:rsid w:val="005D3AEC"/>
    <w:rsid w:val="005D3C43"/>
    <w:rsid w:val="005D3C8B"/>
    <w:rsid w:val="005D3DBA"/>
    <w:rsid w:val="005D3E65"/>
    <w:rsid w:val="005D4308"/>
    <w:rsid w:val="005D4979"/>
    <w:rsid w:val="005D4DA7"/>
    <w:rsid w:val="005D4E88"/>
    <w:rsid w:val="005D4F7B"/>
    <w:rsid w:val="005D542E"/>
    <w:rsid w:val="005D550B"/>
    <w:rsid w:val="005D56A1"/>
    <w:rsid w:val="005D5742"/>
    <w:rsid w:val="005D5A4D"/>
    <w:rsid w:val="005D5E7F"/>
    <w:rsid w:val="005D5F6D"/>
    <w:rsid w:val="005D626E"/>
    <w:rsid w:val="005D62B9"/>
    <w:rsid w:val="005D635C"/>
    <w:rsid w:val="005D6426"/>
    <w:rsid w:val="005D64EF"/>
    <w:rsid w:val="005D6550"/>
    <w:rsid w:val="005D6563"/>
    <w:rsid w:val="005D6589"/>
    <w:rsid w:val="005D6733"/>
    <w:rsid w:val="005D6793"/>
    <w:rsid w:val="005D67A7"/>
    <w:rsid w:val="005D67AD"/>
    <w:rsid w:val="005D68A3"/>
    <w:rsid w:val="005D69B6"/>
    <w:rsid w:val="005D6B09"/>
    <w:rsid w:val="005D6F2B"/>
    <w:rsid w:val="005D70A5"/>
    <w:rsid w:val="005D71E0"/>
    <w:rsid w:val="005D72B0"/>
    <w:rsid w:val="005D748E"/>
    <w:rsid w:val="005D7740"/>
    <w:rsid w:val="005D77C2"/>
    <w:rsid w:val="005D7AB9"/>
    <w:rsid w:val="005D7F5B"/>
    <w:rsid w:val="005E02F1"/>
    <w:rsid w:val="005E0588"/>
    <w:rsid w:val="005E0682"/>
    <w:rsid w:val="005E0CAE"/>
    <w:rsid w:val="005E0D2C"/>
    <w:rsid w:val="005E0DFC"/>
    <w:rsid w:val="005E1010"/>
    <w:rsid w:val="005E15F0"/>
    <w:rsid w:val="005E186F"/>
    <w:rsid w:val="005E1E7F"/>
    <w:rsid w:val="005E1E9D"/>
    <w:rsid w:val="005E23B9"/>
    <w:rsid w:val="005E23C6"/>
    <w:rsid w:val="005E2608"/>
    <w:rsid w:val="005E28E9"/>
    <w:rsid w:val="005E29EF"/>
    <w:rsid w:val="005E2C2E"/>
    <w:rsid w:val="005E3011"/>
    <w:rsid w:val="005E3104"/>
    <w:rsid w:val="005E3150"/>
    <w:rsid w:val="005E359E"/>
    <w:rsid w:val="005E37CD"/>
    <w:rsid w:val="005E396A"/>
    <w:rsid w:val="005E45B1"/>
    <w:rsid w:val="005E4A5E"/>
    <w:rsid w:val="005E4E24"/>
    <w:rsid w:val="005E5226"/>
    <w:rsid w:val="005E5421"/>
    <w:rsid w:val="005E568D"/>
    <w:rsid w:val="005E57E4"/>
    <w:rsid w:val="005E5C7E"/>
    <w:rsid w:val="005E5C9E"/>
    <w:rsid w:val="005E60A3"/>
    <w:rsid w:val="005E6227"/>
    <w:rsid w:val="005E6314"/>
    <w:rsid w:val="005E693A"/>
    <w:rsid w:val="005E6A5C"/>
    <w:rsid w:val="005E6B4D"/>
    <w:rsid w:val="005E6C40"/>
    <w:rsid w:val="005E6CE1"/>
    <w:rsid w:val="005E74BE"/>
    <w:rsid w:val="005E7DE5"/>
    <w:rsid w:val="005E7E6D"/>
    <w:rsid w:val="005F007B"/>
    <w:rsid w:val="005F0373"/>
    <w:rsid w:val="005F049A"/>
    <w:rsid w:val="005F0521"/>
    <w:rsid w:val="005F0915"/>
    <w:rsid w:val="005F09C6"/>
    <w:rsid w:val="005F0CB0"/>
    <w:rsid w:val="005F0DCC"/>
    <w:rsid w:val="005F1524"/>
    <w:rsid w:val="005F1848"/>
    <w:rsid w:val="005F1DDE"/>
    <w:rsid w:val="005F1F33"/>
    <w:rsid w:val="005F20B8"/>
    <w:rsid w:val="005F22EB"/>
    <w:rsid w:val="005F29F8"/>
    <w:rsid w:val="005F2C04"/>
    <w:rsid w:val="005F3221"/>
    <w:rsid w:val="005F32AF"/>
    <w:rsid w:val="005F339A"/>
    <w:rsid w:val="005F3451"/>
    <w:rsid w:val="005F37A5"/>
    <w:rsid w:val="005F37F3"/>
    <w:rsid w:val="005F380F"/>
    <w:rsid w:val="005F3A83"/>
    <w:rsid w:val="005F3ECB"/>
    <w:rsid w:val="005F4405"/>
    <w:rsid w:val="005F441F"/>
    <w:rsid w:val="005F474A"/>
    <w:rsid w:val="005F47F7"/>
    <w:rsid w:val="005F494E"/>
    <w:rsid w:val="005F5172"/>
    <w:rsid w:val="005F5301"/>
    <w:rsid w:val="005F5761"/>
    <w:rsid w:val="005F5851"/>
    <w:rsid w:val="005F58B1"/>
    <w:rsid w:val="005F5BC9"/>
    <w:rsid w:val="005F5D8C"/>
    <w:rsid w:val="005F5F47"/>
    <w:rsid w:val="005F6360"/>
    <w:rsid w:val="005F6B57"/>
    <w:rsid w:val="005F6C61"/>
    <w:rsid w:val="005F72A6"/>
    <w:rsid w:val="005F74BD"/>
    <w:rsid w:val="005F74FD"/>
    <w:rsid w:val="005F7BEE"/>
    <w:rsid w:val="005F7C86"/>
    <w:rsid w:val="0060010A"/>
    <w:rsid w:val="0060012A"/>
    <w:rsid w:val="006005FD"/>
    <w:rsid w:val="00600BCA"/>
    <w:rsid w:val="00600D5E"/>
    <w:rsid w:val="00600E0D"/>
    <w:rsid w:val="0060110F"/>
    <w:rsid w:val="0060146E"/>
    <w:rsid w:val="00601A34"/>
    <w:rsid w:val="00601D6C"/>
    <w:rsid w:val="00601E77"/>
    <w:rsid w:val="00602031"/>
    <w:rsid w:val="0060222D"/>
    <w:rsid w:val="00602AF5"/>
    <w:rsid w:val="00602E64"/>
    <w:rsid w:val="0060309D"/>
    <w:rsid w:val="006034FB"/>
    <w:rsid w:val="00603AD1"/>
    <w:rsid w:val="00603CAA"/>
    <w:rsid w:val="00603F83"/>
    <w:rsid w:val="00604022"/>
    <w:rsid w:val="00604154"/>
    <w:rsid w:val="006041A5"/>
    <w:rsid w:val="0060446C"/>
    <w:rsid w:val="00604638"/>
    <w:rsid w:val="006046AF"/>
    <w:rsid w:val="00605186"/>
    <w:rsid w:val="006051D5"/>
    <w:rsid w:val="00605478"/>
    <w:rsid w:val="00605729"/>
    <w:rsid w:val="0060599D"/>
    <w:rsid w:val="006059B3"/>
    <w:rsid w:val="00605B2A"/>
    <w:rsid w:val="00605C15"/>
    <w:rsid w:val="00605F97"/>
    <w:rsid w:val="00606051"/>
    <w:rsid w:val="00606069"/>
    <w:rsid w:val="006062EB"/>
    <w:rsid w:val="006063B4"/>
    <w:rsid w:val="00607327"/>
    <w:rsid w:val="0060753B"/>
    <w:rsid w:val="00607897"/>
    <w:rsid w:val="006079B1"/>
    <w:rsid w:val="00607C3F"/>
    <w:rsid w:val="00607CC6"/>
    <w:rsid w:val="00607F1F"/>
    <w:rsid w:val="006102E5"/>
    <w:rsid w:val="006103DA"/>
    <w:rsid w:val="0061061A"/>
    <w:rsid w:val="0061072A"/>
    <w:rsid w:val="00610915"/>
    <w:rsid w:val="00610CEB"/>
    <w:rsid w:val="00610FF9"/>
    <w:rsid w:val="006110A5"/>
    <w:rsid w:val="00611163"/>
    <w:rsid w:val="006115FC"/>
    <w:rsid w:val="00611689"/>
    <w:rsid w:val="00611924"/>
    <w:rsid w:val="00611929"/>
    <w:rsid w:val="00611991"/>
    <w:rsid w:val="00611A2F"/>
    <w:rsid w:val="00611B11"/>
    <w:rsid w:val="00611B8B"/>
    <w:rsid w:val="00611E5C"/>
    <w:rsid w:val="00611EB0"/>
    <w:rsid w:val="00611EF1"/>
    <w:rsid w:val="00611FAF"/>
    <w:rsid w:val="00612508"/>
    <w:rsid w:val="00612598"/>
    <w:rsid w:val="006125F1"/>
    <w:rsid w:val="00612603"/>
    <w:rsid w:val="00612821"/>
    <w:rsid w:val="006128C5"/>
    <w:rsid w:val="006128CA"/>
    <w:rsid w:val="00612A84"/>
    <w:rsid w:val="00612ECC"/>
    <w:rsid w:val="00612F14"/>
    <w:rsid w:val="00612FD6"/>
    <w:rsid w:val="00613281"/>
    <w:rsid w:val="00613438"/>
    <w:rsid w:val="0061343A"/>
    <w:rsid w:val="00613464"/>
    <w:rsid w:val="0061370C"/>
    <w:rsid w:val="00613865"/>
    <w:rsid w:val="00613A17"/>
    <w:rsid w:val="00613D26"/>
    <w:rsid w:val="00613ED6"/>
    <w:rsid w:val="00613FB6"/>
    <w:rsid w:val="00614838"/>
    <w:rsid w:val="006148F9"/>
    <w:rsid w:val="00614CF1"/>
    <w:rsid w:val="00614D33"/>
    <w:rsid w:val="00614E02"/>
    <w:rsid w:val="00615134"/>
    <w:rsid w:val="0061522B"/>
    <w:rsid w:val="0061559A"/>
    <w:rsid w:val="00615783"/>
    <w:rsid w:val="006159BF"/>
    <w:rsid w:val="00615E9B"/>
    <w:rsid w:val="006163CA"/>
    <w:rsid w:val="00616719"/>
    <w:rsid w:val="006167FE"/>
    <w:rsid w:val="00617250"/>
    <w:rsid w:val="006173A2"/>
    <w:rsid w:val="0061755E"/>
    <w:rsid w:val="006175E5"/>
    <w:rsid w:val="00617798"/>
    <w:rsid w:val="00617877"/>
    <w:rsid w:val="00617887"/>
    <w:rsid w:val="00617E63"/>
    <w:rsid w:val="00620126"/>
    <w:rsid w:val="00620770"/>
    <w:rsid w:val="00620858"/>
    <w:rsid w:val="00620A96"/>
    <w:rsid w:val="00620BBD"/>
    <w:rsid w:val="00620D3D"/>
    <w:rsid w:val="00620E01"/>
    <w:rsid w:val="00621390"/>
    <w:rsid w:val="00621619"/>
    <w:rsid w:val="0062197C"/>
    <w:rsid w:val="00621B5B"/>
    <w:rsid w:val="00621C62"/>
    <w:rsid w:val="00621FD7"/>
    <w:rsid w:val="00622166"/>
    <w:rsid w:val="006221D2"/>
    <w:rsid w:val="0062258D"/>
    <w:rsid w:val="006225D0"/>
    <w:rsid w:val="00622626"/>
    <w:rsid w:val="00622866"/>
    <w:rsid w:val="0062287A"/>
    <w:rsid w:val="0062311A"/>
    <w:rsid w:val="00623214"/>
    <w:rsid w:val="00623466"/>
    <w:rsid w:val="00623A81"/>
    <w:rsid w:val="00623B8E"/>
    <w:rsid w:val="00623C7F"/>
    <w:rsid w:val="00623DC0"/>
    <w:rsid w:val="00624083"/>
    <w:rsid w:val="006243DC"/>
    <w:rsid w:val="006244A3"/>
    <w:rsid w:val="00624680"/>
    <w:rsid w:val="00624C0E"/>
    <w:rsid w:val="00625147"/>
    <w:rsid w:val="00625CCF"/>
    <w:rsid w:val="00625FDA"/>
    <w:rsid w:val="00626109"/>
    <w:rsid w:val="00626271"/>
    <w:rsid w:val="006263AA"/>
    <w:rsid w:val="006266E2"/>
    <w:rsid w:val="00626765"/>
    <w:rsid w:val="00626B46"/>
    <w:rsid w:val="006271F1"/>
    <w:rsid w:val="006273C1"/>
    <w:rsid w:val="00627748"/>
    <w:rsid w:val="00627811"/>
    <w:rsid w:val="00627DB6"/>
    <w:rsid w:val="00627E80"/>
    <w:rsid w:val="006303A5"/>
    <w:rsid w:val="00630473"/>
    <w:rsid w:val="00630487"/>
    <w:rsid w:val="00630642"/>
    <w:rsid w:val="00630B56"/>
    <w:rsid w:val="00630D6B"/>
    <w:rsid w:val="00631193"/>
    <w:rsid w:val="006311E1"/>
    <w:rsid w:val="0063125F"/>
    <w:rsid w:val="0063127E"/>
    <w:rsid w:val="006314A1"/>
    <w:rsid w:val="00631935"/>
    <w:rsid w:val="00631964"/>
    <w:rsid w:val="00631A1A"/>
    <w:rsid w:val="00631C53"/>
    <w:rsid w:val="006321A8"/>
    <w:rsid w:val="00632639"/>
    <w:rsid w:val="00632815"/>
    <w:rsid w:val="00632E8C"/>
    <w:rsid w:val="006333CC"/>
    <w:rsid w:val="006337B0"/>
    <w:rsid w:val="0063390A"/>
    <w:rsid w:val="00633976"/>
    <w:rsid w:val="00633A82"/>
    <w:rsid w:val="0063468C"/>
    <w:rsid w:val="006348D6"/>
    <w:rsid w:val="00634CC6"/>
    <w:rsid w:val="006351E8"/>
    <w:rsid w:val="006357D4"/>
    <w:rsid w:val="00635BFF"/>
    <w:rsid w:val="00635C8F"/>
    <w:rsid w:val="00635CA4"/>
    <w:rsid w:val="0063606F"/>
    <w:rsid w:val="006361D2"/>
    <w:rsid w:val="00636317"/>
    <w:rsid w:val="0063680B"/>
    <w:rsid w:val="00636931"/>
    <w:rsid w:val="00636CE6"/>
    <w:rsid w:val="00636D05"/>
    <w:rsid w:val="00637243"/>
    <w:rsid w:val="00637247"/>
    <w:rsid w:val="00637261"/>
    <w:rsid w:val="006376B4"/>
    <w:rsid w:val="00637CE0"/>
    <w:rsid w:val="00637D3B"/>
    <w:rsid w:val="00637DBF"/>
    <w:rsid w:val="00637E00"/>
    <w:rsid w:val="00637ECD"/>
    <w:rsid w:val="0064001D"/>
    <w:rsid w:val="00640392"/>
    <w:rsid w:val="006406C5"/>
    <w:rsid w:val="00640C7E"/>
    <w:rsid w:val="006413E0"/>
    <w:rsid w:val="00641454"/>
    <w:rsid w:val="00641580"/>
    <w:rsid w:val="006415AC"/>
    <w:rsid w:val="006418DD"/>
    <w:rsid w:val="00641B78"/>
    <w:rsid w:val="00641FB4"/>
    <w:rsid w:val="00642046"/>
    <w:rsid w:val="006424BB"/>
    <w:rsid w:val="006424C9"/>
    <w:rsid w:val="006427FC"/>
    <w:rsid w:val="00642850"/>
    <w:rsid w:val="006428CC"/>
    <w:rsid w:val="006429B8"/>
    <w:rsid w:val="00642DBE"/>
    <w:rsid w:val="00642EBE"/>
    <w:rsid w:val="00642F63"/>
    <w:rsid w:val="00643496"/>
    <w:rsid w:val="006438FC"/>
    <w:rsid w:val="00643943"/>
    <w:rsid w:val="00644C8D"/>
    <w:rsid w:val="00644CF2"/>
    <w:rsid w:val="00644FEA"/>
    <w:rsid w:val="006455C0"/>
    <w:rsid w:val="0064573B"/>
    <w:rsid w:val="006458B5"/>
    <w:rsid w:val="00645CA2"/>
    <w:rsid w:val="0064604A"/>
    <w:rsid w:val="00646269"/>
    <w:rsid w:val="00646537"/>
    <w:rsid w:val="006466CD"/>
    <w:rsid w:val="00646712"/>
    <w:rsid w:val="006469BF"/>
    <w:rsid w:val="00646D09"/>
    <w:rsid w:val="00646E5B"/>
    <w:rsid w:val="00647129"/>
    <w:rsid w:val="0064726C"/>
    <w:rsid w:val="006472ED"/>
    <w:rsid w:val="00647486"/>
    <w:rsid w:val="006476CF"/>
    <w:rsid w:val="0064776C"/>
    <w:rsid w:val="006478FA"/>
    <w:rsid w:val="00647B1E"/>
    <w:rsid w:val="00647C48"/>
    <w:rsid w:val="00647D30"/>
    <w:rsid w:val="00647DF3"/>
    <w:rsid w:val="00647DFB"/>
    <w:rsid w:val="00647FE5"/>
    <w:rsid w:val="0065068F"/>
    <w:rsid w:val="006507CE"/>
    <w:rsid w:val="006508FC"/>
    <w:rsid w:val="00650AC5"/>
    <w:rsid w:val="00650AF8"/>
    <w:rsid w:val="00650B4E"/>
    <w:rsid w:val="00651142"/>
    <w:rsid w:val="0065122A"/>
    <w:rsid w:val="00651241"/>
    <w:rsid w:val="00651BA3"/>
    <w:rsid w:val="00652299"/>
    <w:rsid w:val="006529AD"/>
    <w:rsid w:val="006529C4"/>
    <w:rsid w:val="00652D6D"/>
    <w:rsid w:val="006530F1"/>
    <w:rsid w:val="0065321B"/>
    <w:rsid w:val="006534A6"/>
    <w:rsid w:val="006535F0"/>
    <w:rsid w:val="00653602"/>
    <w:rsid w:val="006539B7"/>
    <w:rsid w:val="00653A59"/>
    <w:rsid w:val="00653B85"/>
    <w:rsid w:val="00653D21"/>
    <w:rsid w:val="00654192"/>
    <w:rsid w:val="00654744"/>
    <w:rsid w:val="006547FE"/>
    <w:rsid w:val="00654C94"/>
    <w:rsid w:val="00654F02"/>
    <w:rsid w:val="00654FFC"/>
    <w:rsid w:val="00655093"/>
    <w:rsid w:val="006551BD"/>
    <w:rsid w:val="00655619"/>
    <w:rsid w:val="006558A7"/>
    <w:rsid w:val="00655B3E"/>
    <w:rsid w:val="00655BA4"/>
    <w:rsid w:val="00655CA9"/>
    <w:rsid w:val="00655E25"/>
    <w:rsid w:val="006560FB"/>
    <w:rsid w:val="006561CF"/>
    <w:rsid w:val="0065637A"/>
    <w:rsid w:val="006564B2"/>
    <w:rsid w:val="0065669C"/>
    <w:rsid w:val="00656746"/>
    <w:rsid w:val="00656A93"/>
    <w:rsid w:val="00656EBE"/>
    <w:rsid w:val="006570BA"/>
    <w:rsid w:val="00657669"/>
    <w:rsid w:val="00657976"/>
    <w:rsid w:val="00657A51"/>
    <w:rsid w:val="006601E4"/>
    <w:rsid w:val="0066022B"/>
    <w:rsid w:val="00660275"/>
    <w:rsid w:val="006607AB"/>
    <w:rsid w:val="00660843"/>
    <w:rsid w:val="0066087A"/>
    <w:rsid w:val="00660A09"/>
    <w:rsid w:val="00660AFA"/>
    <w:rsid w:val="00660B89"/>
    <w:rsid w:val="00661014"/>
    <w:rsid w:val="00661405"/>
    <w:rsid w:val="006614F2"/>
    <w:rsid w:val="00661A31"/>
    <w:rsid w:val="00662446"/>
    <w:rsid w:val="006624A5"/>
    <w:rsid w:val="006625A8"/>
    <w:rsid w:val="0066289F"/>
    <w:rsid w:val="0066292F"/>
    <w:rsid w:val="00662A26"/>
    <w:rsid w:val="00662ABB"/>
    <w:rsid w:val="00662AEC"/>
    <w:rsid w:val="006630AD"/>
    <w:rsid w:val="006634BF"/>
    <w:rsid w:val="006635D3"/>
    <w:rsid w:val="006637D4"/>
    <w:rsid w:val="0066402C"/>
    <w:rsid w:val="0066455E"/>
    <w:rsid w:val="006649C6"/>
    <w:rsid w:val="00664D62"/>
    <w:rsid w:val="00664F56"/>
    <w:rsid w:val="00664FAD"/>
    <w:rsid w:val="00664FB9"/>
    <w:rsid w:val="006650EA"/>
    <w:rsid w:val="00665DB5"/>
    <w:rsid w:val="00665E52"/>
    <w:rsid w:val="00665EEF"/>
    <w:rsid w:val="0066632A"/>
    <w:rsid w:val="00666622"/>
    <w:rsid w:val="0066666B"/>
    <w:rsid w:val="00666C21"/>
    <w:rsid w:val="00666E2C"/>
    <w:rsid w:val="00666EC6"/>
    <w:rsid w:val="0066715B"/>
    <w:rsid w:val="0066730F"/>
    <w:rsid w:val="00667370"/>
    <w:rsid w:val="006673BD"/>
    <w:rsid w:val="0066755D"/>
    <w:rsid w:val="006678F9"/>
    <w:rsid w:val="00667917"/>
    <w:rsid w:val="00667942"/>
    <w:rsid w:val="006679C0"/>
    <w:rsid w:val="00667D88"/>
    <w:rsid w:val="0067058E"/>
    <w:rsid w:val="006707D9"/>
    <w:rsid w:val="00670B8F"/>
    <w:rsid w:val="00670DC9"/>
    <w:rsid w:val="00670F94"/>
    <w:rsid w:val="00671075"/>
    <w:rsid w:val="00671236"/>
    <w:rsid w:val="006713B4"/>
    <w:rsid w:val="006713D8"/>
    <w:rsid w:val="006718D4"/>
    <w:rsid w:val="00671A25"/>
    <w:rsid w:val="0067265D"/>
    <w:rsid w:val="00672770"/>
    <w:rsid w:val="006727B1"/>
    <w:rsid w:val="00673248"/>
    <w:rsid w:val="00673263"/>
    <w:rsid w:val="0067326B"/>
    <w:rsid w:val="006732EE"/>
    <w:rsid w:val="00673510"/>
    <w:rsid w:val="006737D1"/>
    <w:rsid w:val="00673916"/>
    <w:rsid w:val="00673AEB"/>
    <w:rsid w:val="0067420B"/>
    <w:rsid w:val="00674C01"/>
    <w:rsid w:val="00674D1F"/>
    <w:rsid w:val="00674E80"/>
    <w:rsid w:val="0067529C"/>
    <w:rsid w:val="0067544A"/>
    <w:rsid w:val="00675570"/>
    <w:rsid w:val="006757C3"/>
    <w:rsid w:val="006760F6"/>
    <w:rsid w:val="00676164"/>
    <w:rsid w:val="00676425"/>
    <w:rsid w:val="00676860"/>
    <w:rsid w:val="00676A5B"/>
    <w:rsid w:val="00676CAA"/>
    <w:rsid w:val="00676D73"/>
    <w:rsid w:val="00676E9B"/>
    <w:rsid w:val="00677435"/>
    <w:rsid w:val="0067750D"/>
    <w:rsid w:val="0067758F"/>
    <w:rsid w:val="00677777"/>
    <w:rsid w:val="006777D9"/>
    <w:rsid w:val="006779B9"/>
    <w:rsid w:val="00677FAE"/>
    <w:rsid w:val="00680265"/>
    <w:rsid w:val="006802C9"/>
    <w:rsid w:val="00680AA7"/>
    <w:rsid w:val="00680F71"/>
    <w:rsid w:val="006811E4"/>
    <w:rsid w:val="00681476"/>
    <w:rsid w:val="0068157A"/>
    <w:rsid w:val="00681ABD"/>
    <w:rsid w:val="00681CAA"/>
    <w:rsid w:val="00681E0B"/>
    <w:rsid w:val="006821E0"/>
    <w:rsid w:val="00682273"/>
    <w:rsid w:val="006823F4"/>
    <w:rsid w:val="006824C6"/>
    <w:rsid w:val="006826EF"/>
    <w:rsid w:val="00682BD9"/>
    <w:rsid w:val="00682D07"/>
    <w:rsid w:val="006833DD"/>
    <w:rsid w:val="006834A3"/>
    <w:rsid w:val="00683B0C"/>
    <w:rsid w:val="00683E52"/>
    <w:rsid w:val="0068492B"/>
    <w:rsid w:val="00684B13"/>
    <w:rsid w:val="00684C5A"/>
    <w:rsid w:val="00684CF2"/>
    <w:rsid w:val="00684F9B"/>
    <w:rsid w:val="006850AA"/>
    <w:rsid w:val="006851AE"/>
    <w:rsid w:val="006851F8"/>
    <w:rsid w:val="006855C9"/>
    <w:rsid w:val="0068565D"/>
    <w:rsid w:val="0068598B"/>
    <w:rsid w:val="00685F25"/>
    <w:rsid w:val="00686057"/>
    <w:rsid w:val="00686116"/>
    <w:rsid w:val="0068622E"/>
    <w:rsid w:val="00686273"/>
    <w:rsid w:val="006862AF"/>
    <w:rsid w:val="0068632D"/>
    <w:rsid w:val="00686578"/>
    <w:rsid w:val="0068660B"/>
    <w:rsid w:val="0068667A"/>
    <w:rsid w:val="0068689E"/>
    <w:rsid w:val="006868C2"/>
    <w:rsid w:val="00686DB3"/>
    <w:rsid w:val="00686DDE"/>
    <w:rsid w:val="00686E97"/>
    <w:rsid w:val="00686FCB"/>
    <w:rsid w:val="006870AD"/>
    <w:rsid w:val="006875DB"/>
    <w:rsid w:val="00687A67"/>
    <w:rsid w:val="00687A88"/>
    <w:rsid w:val="006905BE"/>
    <w:rsid w:val="00690AFB"/>
    <w:rsid w:val="00690D19"/>
    <w:rsid w:val="00691066"/>
    <w:rsid w:val="0069133D"/>
    <w:rsid w:val="0069177B"/>
    <w:rsid w:val="00691BC9"/>
    <w:rsid w:val="006927F7"/>
    <w:rsid w:val="0069292E"/>
    <w:rsid w:val="00693057"/>
    <w:rsid w:val="006930B3"/>
    <w:rsid w:val="0069310A"/>
    <w:rsid w:val="00693B36"/>
    <w:rsid w:val="00693B9B"/>
    <w:rsid w:val="00693C37"/>
    <w:rsid w:val="00693EBB"/>
    <w:rsid w:val="0069448B"/>
    <w:rsid w:val="00694B6E"/>
    <w:rsid w:val="00694CFA"/>
    <w:rsid w:val="00694E0E"/>
    <w:rsid w:val="006952C5"/>
    <w:rsid w:val="0069539C"/>
    <w:rsid w:val="0069555D"/>
    <w:rsid w:val="006957E4"/>
    <w:rsid w:val="00695D47"/>
    <w:rsid w:val="00695E44"/>
    <w:rsid w:val="00695E80"/>
    <w:rsid w:val="0069610A"/>
    <w:rsid w:val="00696128"/>
    <w:rsid w:val="006963E3"/>
    <w:rsid w:val="006965D8"/>
    <w:rsid w:val="00696DA9"/>
    <w:rsid w:val="00697196"/>
    <w:rsid w:val="006974F3"/>
    <w:rsid w:val="006976B3"/>
    <w:rsid w:val="00697940"/>
    <w:rsid w:val="006A053A"/>
    <w:rsid w:val="006A05A2"/>
    <w:rsid w:val="006A0983"/>
    <w:rsid w:val="006A1022"/>
    <w:rsid w:val="006A1160"/>
    <w:rsid w:val="006A1237"/>
    <w:rsid w:val="006A1396"/>
    <w:rsid w:val="006A14D2"/>
    <w:rsid w:val="006A182F"/>
    <w:rsid w:val="006A1B23"/>
    <w:rsid w:val="006A1BE3"/>
    <w:rsid w:val="006A1DC2"/>
    <w:rsid w:val="006A1E74"/>
    <w:rsid w:val="006A1FE7"/>
    <w:rsid w:val="006A232F"/>
    <w:rsid w:val="006A2803"/>
    <w:rsid w:val="006A2B7C"/>
    <w:rsid w:val="006A2C4F"/>
    <w:rsid w:val="006A2C6D"/>
    <w:rsid w:val="006A320F"/>
    <w:rsid w:val="006A32D6"/>
    <w:rsid w:val="006A36F7"/>
    <w:rsid w:val="006A386B"/>
    <w:rsid w:val="006A3B69"/>
    <w:rsid w:val="006A3C72"/>
    <w:rsid w:val="006A3DE9"/>
    <w:rsid w:val="006A401B"/>
    <w:rsid w:val="006A40DC"/>
    <w:rsid w:val="006A46DE"/>
    <w:rsid w:val="006A4868"/>
    <w:rsid w:val="006A496C"/>
    <w:rsid w:val="006A4A14"/>
    <w:rsid w:val="006A4AC3"/>
    <w:rsid w:val="006A4C1F"/>
    <w:rsid w:val="006A5044"/>
    <w:rsid w:val="006A5166"/>
    <w:rsid w:val="006A5297"/>
    <w:rsid w:val="006A551E"/>
    <w:rsid w:val="006A566B"/>
    <w:rsid w:val="006A57F2"/>
    <w:rsid w:val="006A58C6"/>
    <w:rsid w:val="006A5B00"/>
    <w:rsid w:val="006A5E09"/>
    <w:rsid w:val="006A6225"/>
    <w:rsid w:val="006A626D"/>
    <w:rsid w:val="006A65CE"/>
    <w:rsid w:val="006A685E"/>
    <w:rsid w:val="006A69D4"/>
    <w:rsid w:val="006A6E41"/>
    <w:rsid w:val="006A7078"/>
    <w:rsid w:val="006A7320"/>
    <w:rsid w:val="006A74B5"/>
    <w:rsid w:val="006A7918"/>
    <w:rsid w:val="006A796E"/>
    <w:rsid w:val="006A7A16"/>
    <w:rsid w:val="006A7D68"/>
    <w:rsid w:val="006A7EA2"/>
    <w:rsid w:val="006A7F72"/>
    <w:rsid w:val="006B011E"/>
    <w:rsid w:val="006B0311"/>
    <w:rsid w:val="006B04A3"/>
    <w:rsid w:val="006B0771"/>
    <w:rsid w:val="006B0A00"/>
    <w:rsid w:val="006B0B35"/>
    <w:rsid w:val="006B0D13"/>
    <w:rsid w:val="006B1298"/>
    <w:rsid w:val="006B1518"/>
    <w:rsid w:val="006B1BA8"/>
    <w:rsid w:val="006B1EA4"/>
    <w:rsid w:val="006B1EC8"/>
    <w:rsid w:val="006B2308"/>
    <w:rsid w:val="006B237C"/>
    <w:rsid w:val="006B2680"/>
    <w:rsid w:val="006B2D90"/>
    <w:rsid w:val="006B2F44"/>
    <w:rsid w:val="006B2FE4"/>
    <w:rsid w:val="006B32AD"/>
    <w:rsid w:val="006B356F"/>
    <w:rsid w:val="006B3778"/>
    <w:rsid w:val="006B408B"/>
    <w:rsid w:val="006B40A8"/>
    <w:rsid w:val="006B4404"/>
    <w:rsid w:val="006B4427"/>
    <w:rsid w:val="006B44AF"/>
    <w:rsid w:val="006B4528"/>
    <w:rsid w:val="006B4A30"/>
    <w:rsid w:val="006B4F2B"/>
    <w:rsid w:val="006B4F8B"/>
    <w:rsid w:val="006B52A0"/>
    <w:rsid w:val="006B54CA"/>
    <w:rsid w:val="006B5B8C"/>
    <w:rsid w:val="006B5EBB"/>
    <w:rsid w:val="006B6399"/>
    <w:rsid w:val="006B675C"/>
    <w:rsid w:val="006B6AFE"/>
    <w:rsid w:val="006B6B86"/>
    <w:rsid w:val="006B6B90"/>
    <w:rsid w:val="006B70BC"/>
    <w:rsid w:val="006B72A4"/>
    <w:rsid w:val="006B767B"/>
    <w:rsid w:val="006B7B22"/>
    <w:rsid w:val="006B7BA4"/>
    <w:rsid w:val="006B7FCE"/>
    <w:rsid w:val="006C07E2"/>
    <w:rsid w:val="006C0904"/>
    <w:rsid w:val="006C0BEE"/>
    <w:rsid w:val="006C0CE1"/>
    <w:rsid w:val="006C0FCE"/>
    <w:rsid w:val="006C14FE"/>
    <w:rsid w:val="006C15BD"/>
    <w:rsid w:val="006C1636"/>
    <w:rsid w:val="006C1BAC"/>
    <w:rsid w:val="006C1C96"/>
    <w:rsid w:val="006C1E6A"/>
    <w:rsid w:val="006C20F8"/>
    <w:rsid w:val="006C26DA"/>
    <w:rsid w:val="006C2957"/>
    <w:rsid w:val="006C2BF6"/>
    <w:rsid w:val="006C2DB8"/>
    <w:rsid w:val="006C2F57"/>
    <w:rsid w:val="006C3083"/>
    <w:rsid w:val="006C3091"/>
    <w:rsid w:val="006C31FC"/>
    <w:rsid w:val="006C32B3"/>
    <w:rsid w:val="006C3355"/>
    <w:rsid w:val="006C382B"/>
    <w:rsid w:val="006C395E"/>
    <w:rsid w:val="006C3980"/>
    <w:rsid w:val="006C39FA"/>
    <w:rsid w:val="006C472D"/>
    <w:rsid w:val="006C4734"/>
    <w:rsid w:val="006C4911"/>
    <w:rsid w:val="006C497D"/>
    <w:rsid w:val="006C4AC0"/>
    <w:rsid w:val="006C4D2A"/>
    <w:rsid w:val="006C4E58"/>
    <w:rsid w:val="006C5005"/>
    <w:rsid w:val="006C51DD"/>
    <w:rsid w:val="006C565C"/>
    <w:rsid w:val="006C5BF8"/>
    <w:rsid w:val="006C65CD"/>
    <w:rsid w:val="006C6697"/>
    <w:rsid w:val="006C6A38"/>
    <w:rsid w:val="006C6DA2"/>
    <w:rsid w:val="006C6E9A"/>
    <w:rsid w:val="006C7028"/>
    <w:rsid w:val="006C7231"/>
    <w:rsid w:val="006C7426"/>
    <w:rsid w:val="006C796D"/>
    <w:rsid w:val="006D02D6"/>
    <w:rsid w:val="006D04E5"/>
    <w:rsid w:val="006D063D"/>
    <w:rsid w:val="006D06F6"/>
    <w:rsid w:val="006D071F"/>
    <w:rsid w:val="006D0AE7"/>
    <w:rsid w:val="006D0D22"/>
    <w:rsid w:val="006D0D86"/>
    <w:rsid w:val="006D154D"/>
    <w:rsid w:val="006D1649"/>
    <w:rsid w:val="006D168A"/>
    <w:rsid w:val="006D1A15"/>
    <w:rsid w:val="006D1D3D"/>
    <w:rsid w:val="006D1F45"/>
    <w:rsid w:val="006D27D3"/>
    <w:rsid w:val="006D2A42"/>
    <w:rsid w:val="006D2AA6"/>
    <w:rsid w:val="006D2CDB"/>
    <w:rsid w:val="006D2D85"/>
    <w:rsid w:val="006D2F2E"/>
    <w:rsid w:val="006D2FF1"/>
    <w:rsid w:val="006D339B"/>
    <w:rsid w:val="006D37E9"/>
    <w:rsid w:val="006D3813"/>
    <w:rsid w:val="006D383B"/>
    <w:rsid w:val="006D4317"/>
    <w:rsid w:val="006D43BC"/>
    <w:rsid w:val="006D43DB"/>
    <w:rsid w:val="006D4949"/>
    <w:rsid w:val="006D4B7D"/>
    <w:rsid w:val="006D4C50"/>
    <w:rsid w:val="006D4F48"/>
    <w:rsid w:val="006D5065"/>
    <w:rsid w:val="006D5624"/>
    <w:rsid w:val="006D5A05"/>
    <w:rsid w:val="006D5B3D"/>
    <w:rsid w:val="006D5FE4"/>
    <w:rsid w:val="006D6137"/>
    <w:rsid w:val="006D61D4"/>
    <w:rsid w:val="006D646D"/>
    <w:rsid w:val="006D6A12"/>
    <w:rsid w:val="006D6B89"/>
    <w:rsid w:val="006D6EB6"/>
    <w:rsid w:val="006D7848"/>
    <w:rsid w:val="006D79A2"/>
    <w:rsid w:val="006D7ED7"/>
    <w:rsid w:val="006D7EFF"/>
    <w:rsid w:val="006E0227"/>
    <w:rsid w:val="006E0459"/>
    <w:rsid w:val="006E06D0"/>
    <w:rsid w:val="006E0B7A"/>
    <w:rsid w:val="006E0E7E"/>
    <w:rsid w:val="006E0FA2"/>
    <w:rsid w:val="006E1474"/>
    <w:rsid w:val="006E1702"/>
    <w:rsid w:val="006E1B50"/>
    <w:rsid w:val="006E1C4F"/>
    <w:rsid w:val="006E1E56"/>
    <w:rsid w:val="006E220A"/>
    <w:rsid w:val="006E2224"/>
    <w:rsid w:val="006E272E"/>
    <w:rsid w:val="006E2780"/>
    <w:rsid w:val="006E29BC"/>
    <w:rsid w:val="006E2B85"/>
    <w:rsid w:val="006E2DBE"/>
    <w:rsid w:val="006E3279"/>
    <w:rsid w:val="006E380C"/>
    <w:rsid w:val="006E3A88"/>
    <w:rsid w:val="006E3BD0"/>
    <w:rsid w:val="006E3D42"/>
    <w:rsid w:val="006E4111"/>
    <w:rsid w:val="006E458E"/>
    <w:rsid w:val="006E4719"/>
    <w:rsid w:val="006E47BE"/>
    <w:rsid w:val="006E4B38"/>
    <w:rsid w:val="006E4B97"/>
    <w:rsid w:val="006E503B"/>
    <w:rsid w:val="006E517E"/>
    <w:rsid w:val="006E53FD"/>
    <w:rsid w:val="006E5468"/>
    <w:rsid w:val="006E55F0"/>
    <w:rsid w:val="006E57D4"/>
    <w:rsid w:val="006E63FF"/>
    <w:rsid w:val="006E668D"/>
    <w:rsid w:val="006E68DF"/>
    <w:rsid w:val="006E69C0"/>
    <w:rsid w:val="006E6A78"/>
    <w:rsid w:val="006E70F1"/>
    <w:rsid w:val="006E739E"/>
    <w:rsid w:val="006E7482"/>
    <w:rsid w:val="006E78F3"/>
    <w:rsid w:val="006E7D91"/>
    <w:rsid w:val="006F0118"/>
    <w:rsid w:val="006F01DD"/>
    <w:rsid w:val="006F0479"/>
    <w:rsid w:val="006F05C3"/>
    <w:rsid w:val="006F0763"/>
    <w:rsid w:val="006F0B4D"/>
    <w:rsid w:val="006F0E5C"/>
    <w:rsid w:val="006F10B4"/>
    <w:rsid w:val="006F10FD"/>
    <w:rsid w:val="006F1611"/>
    <w:rsid w:val="006F1900"/>
    <w:rsid w:val="006F190C"/>
    <w:rsid w:val="006F19E2"/>
    <w:rsid w:val="006F1B99"/>
    <w:rsid w:val="006F1CFC"/>
    <w:rsid w:val="006F1EE7"/>
    <w:rsid w:val="006F2408"/>
    <w:rsid w:val="006F2512"/>
    <w:rsid w:val="006F2888"/>
    <w:rsid w:val="006F2FF2"/>
    <w:rsid w:val="006F35E6"/>
    <w:rsid w:val="006F3BAC"/>
    <w:rsid w:val="006F3DCA"/>
    <w:rsid w:val="006F3DDD"/>
    <w:rsid w:val="006F3DEB"/>
    <w:rsid w:val="006F3E57"/>
    <w:rsid w:val="006F409E"/>
    <w:rsid w:val="006F4154"/>
    <w:rsid w:val="006F4176"/>
    <w:rsid w:val="006F41E8"/>
    <w:rsid w:val="006F4623"/>
    <w:rsid w:val="006F49C4"/>
    <w:rsid w:val="006F4CBD"/>
    <w:rsid w:val="006F4F7E"/>
    <w:rsid w:val="006F52C2"/>
    <w:rsid w:val="006F5454"/>
    <w:rsid w:val="006F56CF"/>
    <w:rsid w:val="006F5B9D"/>
    <w:rsid w:val="006F5DAB"/>
    <w:rsid w:val="006F5E3D"/>
    <w:rsid w:val="006F600C"/>
    <w:rsid w:val="006F6786"/>
    <w:rsid w:val="006F6830"/>
    <w:rsid w:val="006F696E"/>
    <w:rsid w:val="006F6AA3"/>
    <w:rsid w:val="006F6CB7"/>
    <w:rsid w:val="006F6F00"/>
    <w:rsid w:val="006F75DF"/>
    <w:rsid w:val="006F79FB"/>
    <w:rsid w:val="007004D5"/>
    <w:rsid w:val="0070094C"/>
    <w:rsid w:val="00700A27"/>
    <w:rsid w:val="00700B62"/>
    <w:rsid w:val="00700DC7"/>
    <w:rsid w:val="00701423"/>
    <w:rsid w:val="007015C1"/>
    <w:rsid w:val="00701A4E"/>
    <w:rsid w:val="00701A72"/>
    <w:rsid w:val="00701BFD"/>
    <w:rsid w:val="00701C2A"/>
    <w:rsid w:val="0070241F"/>
    <w:rsid w:val="007024BB"/>
    <w:rsid w:val="0070297F"/>
    <w:rsid w:val="00702A4C"/>
    <w:rsid w:val="00702A82"/>
    <w:rsid w:val="00702F06"/>
    <w:rsid w:val="00702F27"/>
    <w:rsid w:val="00703351"/>
    <w:rsid w:val="0070360B"/>
    <w:rsid w:val="00703702"/>
    <w:rsid w:val="00703E6D"/>
    <w:rsid w:val="00703EBE"/>
    <w:rsid w:val="00703F41"/>
    <w:rsid w:val="007041B0"/>
    <w:rsid w:val="00704E6A"/>
    <w:rsid w:val="00705261"/>
    <w:rsid w:val="00705273"/>
    <w:rsid w:val="007058BF"/>
    <w:rsid w:val="00705C71"/>
    <w:rsid w:val="00705D0D"/>
    <w:rsid w:val="00705FA9"/>
    <w:rsid w:val="00706718"/>
    <w:rsid w:val="0070673B"/>
    <w:rsid w:val="00706B08"/>
    <w:rsid w:val="00706FBB"/>
    <w:rsid w:val="0070753C"/>
    <w:rsid w:val="0070787F"/>
    <w:rsid w:val="0070796F"/>
    <w:rsid w:val="00707A07"/>
    <w:rsid w:val="00707B30"/>
    <w:rsid w:val="00707E34"/>
    <w:rsid w:val="007101B2"/>
    <w:rsid w:val="007104F6"/>
    <w:rsid w:val="007108C2"/>
    <w:rsid w:val="00710BE7"/>
    <w:rsid w:val="00710C2C"/>
    <w:rsid w:val="00710D02"/>
    <w:rsid w:val="00710E13"/>
    <w:rsid w:val="00710FAB"/>
    <w:rsid w:val="00711274"/>
    <w:rsid w:val="00711591"/>
    <w:rsid w:val="00711A66"/>
    <w:rsid w:val="00711A89"/>
    <w:rsid w:val="00711E1A"/>
    <w:rsid w:val="007122A9"/>
    <w:rsid w:val="00712486"/>
    <w:rsid w:val="00712536"/>
    <w:rsid w:val="00712C2E"/>
    <w:rsid w:val="00712C5B"/>
    <w:rsid w:val="00713078"/>
    <w:rsid w:val="00713080"/>
    <w:rsid w:val="00713346"/>
    <w:rsid w:val="007133F6"/>
    <w:rsid w:val="0071391D"/>
    <w:rsid w:val="0071414D"/>
    <w:rsid w:val="007141D5"/>
    <w:rsid w:val="007143D9"/>
    <w:rsid w:val="00714655"/>
    <w:rsid w:val="00714951"/>
    <w:rsid w:val="00714C4C"/>
    <w:rsid w:val="00714EA6"/>
    <w:rsid w:val="00714F67"/>
    <w:rsid w:val="00715124"/>
    <w:rsid w:val="00715271"/>
    <w:rsid w:val="007156B7"/>
    <w:rsid w:val="00715794"/>
    <w:rsid w:val="007159E4"/>
    <w:rsid w:val="00715CF9"/>
    <w:rsid w:val="00715F49"/>
    <w:rsid w:val="00716220"/>
    <w:rsid w:val="007165C8"/>
    <w:rsid w:val="007166B3"/>
    <w:rsid w:val="007168E1"/>
    <w:rsid w:val="00716F0B"/>
    <w:rsid w:val="00717443"/>
    <w:rsid w:val="007179FD"/>
    <w:rsid w:val="00717A35"/>
    <w:rsid w:val="00717B37"/>
    <w:rsid w:val="00717ECF"/>
    <w:rsid w:val="00720039"/>
    <w:rsid w:val="0072012E"/>
    <w:rsid w:val="007204D7"/>
    <w:rsid w:val="00720621"/>
    <w:rsid w:val="00720AC8"/>
    <w:rsid w:val="00720DB5"/>
    <w:rsid w:val="00721158"/>
    <w:rsid w:val="00721363"/>
    <w:rsid w:val="00721758"/>
    <w:rsid w:val="00721A6E"/>
    <w:rsid w:val="00721A86"/>
    <w:rsid w:val="00721AF9"/>
    <w:rsid w:val="00721C0B"/>
    <w:rsid w:val="00721DA1"/>
    <w:rsid w:val="0072238B"/>
    <w:rsid w:val="007223E5"/>
    <w:rsid w:val="007227A9"/>
    <w:rsid w:val="00722BDE"/>
    <w:rsid w:val="00722D09"/>
    <w:rsid w:val="00723032"/>
    <w:rsid w:val="00723191"/>
    <w:rsid w:val="007237EB"/>
    <w:rsid w:val="00723803"/>
    <w:rsid w:val="0072382A"/>
    <w:rsid w:val="00723907"/>
    <w:rsid w:val="0072392C"/>
    <w:rsid w:val="00723AEE"/>
    <w:rsid w:val="00723CA8"/>
    <w:rsid w:val="0072408E"/>
    <w:rsid w:val="007242C6"/>
    <w:rsid w:val="007245D4"/>
    <w:rsid w:val="0072460C"/>
    <w:rsid w:val="00724A11"/>
    <w:rsid w:val="00724A75"/>
    <w:rsid w:val="00724B1A"/>
    <w:rsid w:val="00724C77"/>
    <w:rsid w:val="00724CAC"/>
    <w:rsid w:val="00725163"/>
    <w:rsid w:val="00725AD2"/>
    <w:rsid w:val="00725B86"/>
    <w:rsid w:val="007261A3"/>
    <w:rsid w:val="00726762"/>
    <w:rsid w:val="00726997"/>
    <w:rsid w:val="00726B0E"/>
    <w:rsid w:val="00726B4F"/>
    <w:rsid w:val="00727138"/>
    <w:rsid w:val="0072720C"/>
    <w:rsid w:val="007272CF"/>
    <w:rsid w:val="00727960"/>
    <w:rsid w:val="00727EB9"/>
    <w:rsid w:val="0073010D"/>
    <w:rsid w:val="007303E3"/>
    <w:rsid w:val="00730841"/>
    <w:rsid w:val="00730C1C"/>
    <w:rsid w:val="00730F5B"/>
    <w:rsid w:val="007312DB"/>
    <w:rsid w:val="007312EF"/>
    <w:rsid w:val="00731542"/>
    <w:rsid w:val="00731950"/>
    <w:rsid w:val="00731AD4"/>
    <w:rsid w:val="00731BE0"/>
    <w:rsid w:val="00731F9B"/>
    <w:rsid w:val="007321BC"/>
    <w:rsid w:val="007327A2"/>
    <w:rsid w:val="00732BB8"/>
    <w:rsid w:val="00732DDE"/>
    <w:rsid w:val="00732F0B"/>
    <w:rsid w:val="0073325B"/>
    <w:rsid w:val="007333E8"/>
    <w:rsid w:val="0073346A"/>
    <w:rsid w:val="00733DAB"/>
    <w:rsid w:val="00733E25"/>
    <w:rsid w:val="007342C3"/>
    <w:rsid w:val="0073436F"/>
    <w:rsid w:val="00734A99"/>
    <w:rsid w:val="00734C04"/>
    <w:rsid w:val="00734CE0"/>
    <w:rsid w:val="00734FC8"/>
    <w:rsid w:val="00735083"/>
    <w:rsid w:val="0073571F"/>
    <w:rsid w:val="00735D84"/>
    <w:rsid w:val="00735EF2"/>
    <w:rsid w:val="00735F4D"/>
    <w:rsid w:val="007364C5"/>
    <w:rsid w:val="00736745"/>
    <w:rsid w:val="00736B07"/>
    <w:rsid w:val="00736B71"/>
    <w:rsid w:val="007370A2"/>
    <w:rsid w:val="007372FB"/>
    <w:rsid w:val="00737500"/>
    <w:rsid w:val="00737913"/>
    <w:rsid w:val="0073795A"/>
    <w:rsid w:val="00737A0E"/>
    <w:rsid w:val="00737D00"/>
    <w:rsid w:val="00737D60"/>
    <w:rsid w:val="00737E8D"/>
    <w:rsid w:val="00737FB7"/>
    <w:rsid w:val="00740357"/>
    <w:rsid w:val="007407B8"/>
    <w:rsid w:val="007407FA"/>
    <w:rsid w:val="0074085A"/>
    <w:rsid w:val="0074091C"/>
    <w:rsid w:val="00740AEB"/>
    <w:rsid w:val="00740C95"/>
    <w:rsid w:val="00740D22"/>
    <w:rsid w:val="00740E02"/>
    <w:rsid w:val="00740EE8"/>
    <w:rsid w:val="0074137D"/>
    <w:rsid w:val="0074176C"/>
    <w:rsid w:val="00741857"/>
    <w:rsid w:val="00741F88"/>
    <w:rsid w:val="007420B5"/>
    <w:rsid w:val="00742271"/>
    <w:rsid w:val="00742385"/>
    <w:rsid w:val="0074251C"/>
    <w:rsid w:val="0074266A"/>
    <w:rsid w:val="007427B4"/>
    <w:rsid w:val="00742BE7"/>
    <w:rsid w:val="00742C9E"/>
    <w:rsid w:val="00742CD5"/>
    <w:rsid w:val="00742D60"/>
    <w:rsid w:val="00742F56"/>
    <w:rsid w:val="0074304F"/>
    <w:rsid w:val="0074307A"/>
    <w:rsid w:val="007431DD"/>
    <w:rsid w:val="007434D1"/>
    <w:rsid w:val="00743723"/>
    <w:rsid w:val="0074376D"/>
    <w:rsid w:val="007439E5"/>
    <w:rsid w:val="00743EE0"/>
    <w:rsid w:val="00744185"/>
    <w:rsid w:val="00744345"/>
    <w:rsid w:val="00744486"/>
    <w:rsid w:val="00744F82"/>
    <w:rsid w:val="00745077"/>
    <w:rsid w:val="00745082"/>
    <w:rsid w:val="007450AB"/>
    <w:rsid w:val="007451AD"/>
    <w:rsid w:val="00745647"/>
    <w:rsid w:val="00745658"/>
    <w:rsid w:val="0074566D"/>
    <w:rsid w:val="00745924"/>
    <w:rsid w:val="00745958"/>
    <w:rsid w:val="00745AD2"/>
    <w:rsid w:val="00745EC4"/>
    <w:rsid w:val="00745F78"/>
    <w:rsid w:val="0074611A"/>
    <w:rsid w:val="007463B2"/>
    <w:rsid w:val="007465FA"/>
    <w:rsid w:val="007466E3"/>
    <w:rsid w:val="00746C25"/>
    <w:rsid w:val="00746DA7"/>
    <w:rsid w:val="0074700E"/>
    <w:rsid w:val="007472AF"/>
    <w:rsid w:val="007474B0"/>
    <w:rsid w:val="0074797D"/>
    <w:rsid w:val="00747C21"/>
    <w:rsid w:val="00747C3E"/>
    <w:rsid w:val="00750052"/>
    <w:rsid w:val="00750108"/>
    <w:rsid w:val="00750247"/>
    <w:rsid w:val="00750348"/>
    <w:rsid w:val="007504EB"/>
    <w:rsid w:val="00750B76"/>
    <w:rsid w:val="00750E0C"/>
    <w:rsid w:val="007512BB"/>
    <w:rsid w:val="0075162B"/>
    <w:rsid w:val="00751854"/>
    <w:rsid w:val="007518F0"/>
    <w:rsid w:val="00751DE8"/>
    <w:rsid w:val="00751E36"/>
    <w:rsid w:val="00751F67"/>
    <w:rsid w:val="00751FCF"/>
    <w:rsid w:val="00752230"/>
    <w:rsid w:val="0075240E"/>
    <w:rsid w:val="0075250A"/>
    <w:rsid w:val="00752799"/>
    <w:rsid w:val="007527EF"/>
    <w:rsid w:val="00752D1C"/>
    <w:rsid w:val="00752EBA"/>
    <w:rsid w:val="00753038"/>
    <w:rsid w:val="007534E0"/>
    <w:rsid w:val="007534FA"/>
    <w:rsid w:val="007536A4"/>
    <w:rsid w:val="00754165"/>
    <w:rsid w:val="00754326"/>
    <w:rsid w:val="00754996"/>
    <w:rsid w:val="007549BE"/>
    <w:rsid w:val="00754AAC"/>
    <w:rsid w:val="00754C25"/>
    <w:rsid w:val="00754E45"/>
    <w:rsid w:val="00754EC5"/>
    <w:rsid w:val="00754F71"/>
    <w:rsid w:val="00754FBB"/>
    <w:rsid w:val="007554AA"/>
    <w:rsid w:val="007555B3"/>
    <w:rsid w:val="007557F1"/>
    <w:rsid w:val="007558FE"/>
    <w:rsid w:val="007563B8"/>
    <w:rsid w:val="0075647E"/>
    <w:rsid w:val="00756611"/>
    <w:rsid w:val="00756712"/>
    <w:rsid w:val="007567AF"/>
    <w:rsid w:val="0075699A"/>
    <w:rsid w:val="00756A4D"/>
    <w:rsid w:val="00756B10"/>
    <w:rsid w:val="00756BD0"/>
    <w:rsid w:val="00756D44"/>
    <w:rsid w:val="0075732B"/>
    <w:rsid w:val="00757386"/>
    <w:rsid w:val="00757392"/>
    <w:rsid w:val="00757560"/>
    <w:rsid w:val="00757671"/>
    <w:rsid w:val="00757752"/>
    <w:rsid w:val="00757AFB"/>
    <w:rsid w:val="0076000B"/>
    <w:rsid w:val="007600C7"/>
    <w:rsid w:val="00760109"/>
    <w:rsid w:val="0076049E"/>
    <w:rsid w:val="00760782"/>
    <w:rsid w:val="00760796"/>
    <w:rsid w:val="00760941"/>
    <w:rsid w:val="007609F6"/>
    <w:rsid w:val="00760C50"/>
    <w:rsid w:val="00760F1D"/>
    <w:rsid w:val="00761126"/>
    <w:rsid w:val="00761207"/>
    <w:rsid w:val="0076140C"/>
    <w:rsid w:val="007616AE"/>
    <w:rsid w:val="00761D3D"/>
    <w:rsid w:val="00761DAE"/>
    <w:rsid w:val="00761E2A"/>
    <w:rsid w:val="00762147"/>
    <w:rsid w:val="00762274"/>
    <w:rsid w:val="0076238B"/>
    <w:rsid w:val="00762865"/>
    <w:rsid w:val="00762B86"/>
    <w:rsid w:val="00762CBC"/>
    <w:rsid w:val="00762EBB"/>
    <w:rsid w:val="00763047"/>
    <w:rsid w:val="007636BA"/>
    <w:rsid w:val="00763F55"/>
    <w:rsid w:val="007640DF"/>
    <w:rsid w:val="0076486B"/>
    <w:rsid w:val="00764AF7"/>
    <w:rsid w:val="00764B40"/>
    <w:rsid w:val="00764C04"/>
    <w:rsid w:val="00764DB4"/>
    <w:rsid w:val="00765005"/>
    <w:rsid w:val="0076512C"/>
    <w:rsid w:val="007657E6"/>
    <w:rsid w:val="00765880"/>
    <w:rsid w:val="007658CF"/>
    <w:rsid w:val="00765D90"/>
    <w:rsid w:val="00765E15"/>
    <w:rsid w:val="00765E90"/>
    <w:rsid w:val="0076602E"/>
    <w:rsid w:val="0076653E"/>
    <w:rsid w:val="00767090"/>
    <w:rsid w:val="00767632"/>
    <w:rsid w:val="00767654"/>
    <w:rsid w:val="00770081"/>
    <w:rsid w:val="007700E5"/>
    <w:rsid w:val="007709EC"/>
    <w:rsid w:val="00771732"/>
    <w:rsid w:val="0077182C"/>
    <w:rsid w:val="00771E32"/>
    <w:rsid w:val="0077216C"/>
    <w:rsid w:val="00772882"/>
    <w:rsid w:val="00772900"/>
    <w:rsid w:val="00772E47"/>
    <w:rsid w:val="00773153"/>
    <w:rsid w:val="007734AE"/>
    <w:rsid w:val="007734C4"/>
    <w:rsid w:val="007735A1"/>
    <w:rsid w:val="007735E3"/>
    <w:rsid w:val="00773630"/>
    <w:rsid w:val="00773921"/>
    <w:rsid w:val="00773C37"/>
    <w:rsid w:val="00773DDE"/>
    <w:rsid w:val="00773E49"/>
    <w:rsid w:val="00774059"/>
    <w:rsid w:val="007745F5"/>
    <w:rsid w:val="00774638"/>
    <w:rsid w:val="0077486F"/>
    <w:rsid w:val="00774B4F"/>
    <w:rsid w:val="00774C11"/>
    <w:rsid w:val="00774CB8"/>
    <w:rsid w:val="007751CD"/>
    <w:rsid w:val="007757DC"/>
    <w:rsid w:val="007757E9"/>
    <w:rsid w:val="00775B1D"/>
    <w:rsid w:val="00775C95"/>
    <w:rsid w:val="00775F98"/>
    <w:rsid w:val="0077630B"/>
    <w:rsid w:val="00776372"/>
    <w:rsid w:val="00776437"/>
    <w:rsid w:val="007764A1"/>
    <w:rsid w:val="007769DE"/>
    <w:rsid w:val="00776B9B"/>
    <w:rsid w:val="00776F6A"/>
    <w:rsid w:val="00777110"/>
    <w:rsid w:val="007773BA"/>
    <w:rsid w:val="00777512"/>
    <w:rsid w:val="007779E8"/>
    <w:rsid w:val="00777B9A"/>
    <w:rsid w:val="00777E7D"/>
    <w:rsid w:val="007809FC"/>
    <w:rsid w:val="00780A9F"/>
    <w:rsid w:val="00780ADF"/>
    <w:rsid w:val="00781319"/>
    <w:rsid w:val="007815D8"/>
    <w:rsid w:val="007816CD"/>
    <w:rsid w:val="0078177F"/>
    <w:rsid w:val="00781820"/>
    <w:rsid w:val="00781856"/>
    <w:rsid w:val="00781A44"/>
    <w:rsid w:val="00781A71"/>
    <w:rsid w:val="00781DD1"/>
    <w:rsid w:val="007821C0"/>
    <w:rsid w:val="007822DD"/>
    <w:rsid w:val="00782676"/>
    <w:rsid w:val="00782733"/>
    <w:rsid w:val="00782AC6"/>
    <w:rsid w:val="00782ACC"/>
    <w:rsid w:val="00782AED"/>
    <w:rsid w:val="00783459"/>
    <w:rsid w:val="007834A8"/>
    <w:rsid w:val="00783704"/>
    <w:rsid w:val="00783B24"/>
    <w:rsid w:val="00784455"/>
    <w:rsid w:val="007848A8"/>
    <w:rsid w:val="007849AD"/>
    <w:rsid w:val="00784A41"/>
    <w:rsid w:val="00784BC4"/>
    <w:rsid w:val="00784C8C"/>
    <w:rsid w:val="00784CE8"/>
    <w:rsid w:val="00784F19"/>
    <w:rsid w:val="0078538C"/>
    <w:rsid w:val="007853F8"/>
    <w:rsid w:val="007859DF"/>
    <w:rsid w:val="00785BB6"/>
    <w:rsid w:val="00786281"/>
    <w:rsid w:val="007862B1"/>
    <w:rsid w:val="007864BA"/>
    <w:rsid w:val="00786710"/>
    <w:rsid w:val="00786A08"/>
    <w:rsid w:val="00786C80"/>
    <w:rsid w:val="00786EEE"/>
    <w:rsid w:val="00787018"/>
    <w:rsid w:val="007875E9"/>
    <w:rsid w:val="007877A1"/>
    <w:rsid w:val="00787D57"/>
    <w:rsid w:val="0079015A"/>
    <w:rsid w:val="0079024C"/>
    <w:rsid w:val="0079033A"/>
    <w:rsid w:val="00790792"/>
    <w:rsid w:val="007909DD"/>
    <w:rsid w:val="00790E14"/>
    <w:rsid w:val="00791467"/>
    <w:rsid w:val="00791901"/>
    <w:rsid w:val="00791D91"/>
    <w:rsid w:val="00791FBA"/>
    <w:rsid w:val="00791FD8"/>
    <w:rsid w:val="007923F4"/>
    <w:rsid w:val="007927F4"/>
    <w:rsid w:val="00792B27"/>
    <w:rsid w:val="00792D90"/>
    <w:rsid w:val="00792E8D"/>
    <w:rsid w:val="00792F71"/>
    <w:rsid w:val="00793392"/>
    <w:rsid w:val="00793592"/>
    <w:rsid w:val="0079376A"/>
    <w:rsid w:val="00793B39"/>
    <w:rsid w:val="007940D3"/>
    <w:rsid w:val="007941DC"/>
    <w:rsid w:val="00794227"/>
    <w:rsid w:val="0079459C"/>
    <w:rsid w:val="007946D1"/>
    <w:rsid w:val="00794924"/>
    <w:rsid w:val="0079492B"/>
    <w:rsid w:val="00794F93"/>
    <w:rsid w:val="00795183"/>
    <w:rsid w:val="007959B3"/>
    <w:rsid w:val="00795BDB"/>
    <w:rsid w:val="00795D80"/>
    <w:rsid w:val="00795E74"/>
    <w:rsid w:val="0079613E"/>
    <w:rsid w:val="007962ED"/>
    <w:rsid w:val="00796338"/>
    <w:rsid w:val="007963A4"/>
    <w:rsid w:val="0079663E"/>
    <w:rsid w:val="00796ACB"/>
    <w:rsid w:val="00796BB1"/>
    <w:rsid w:val="00796BB5"/>
    <w:rsid w:val="00796D24"/>
    <w:rsid w:val="007971D5"/>
    <w:rsid w:val="007972ED"/>
    <w:rsid w:val="00797390"/>
    <w:rsid w:val="00797700"/>
    <w:rsid w:val="007979A7"/>
    <w:rsid w:val="00797AD9"/>
    <w:rsid w:val="00797D00"/>
    <w:rsid w:val="00797DE5"/>
    <w:rsid w:val="00797F80"/>
    <w:rsid w:val="007A01E6"/>
    <w:rsid w:val="007A0858"/>
    <w:rsid w:val="007A0918"/>
    <w:rsid w:val="007A0AA3"/>
    <w:rsid w:val="007A0C01"/>
    <w:rsid w:val="007A0C70"/>
    <w:rsid w:val="007A0DA7"/>
    <w:rsid w:val="007A0E71"/>
    <w:rsid w:val="007A1051"/>
    <w:rsid w:val="007A116C"/>
    <w:rsid w:val="007A1273"/>
    <w:rsid w:val="007A1B63"/>
    <w:rsid w:val="007A203C"/>
    <w:rsid w:val="007A22DA"/>
    <w:rsid w:val="007A2339"/>
    <w:rsid w:val="007A2478"/>
    <w:rsid w:val="007A26B4"/>
    <w:rsid w:val="007A2C79"/>
    <w:rsid w:val="007A2D1E"/>
    <w:rsid w:val="007A2D2E"/>
    <w:rsid w:val="007A2E0C"/>
    <w:rsid w:val="007A2F5F"/>
    <w:rsid w:val="007A30CA"/>
    <w:rsid w:val="007A3475"/>
    <w:rsid w:val="007A37A7"/>
    <w:rsid w:val="007A382B"/>
    <w:rsid w:val="007A3A12"/>
    <w:rsid w:val="007A3E4F"/>
    <w:rsid w:val="007A3E8D"/>
    <w:rsid w:val="007A4048"/>
    <w:rsid w:val="007A41A3"/>
    <w:rsid w:val="007A4211"/>
    <w:rsid w:val="007A439D"/>
    <w:rsid w:val="007A4653"/>
    <w:rsid w:val="007A47C3"/>
    <w:rsid w:val="007A4846"/>
    <w:rsid w:val="007A49EF"/>
    <w:rsid w:val="007A4ABB"/>
    <w:rsid w:val="007A4BAB"/>
    <w:rsid w:val="007A4F74"/>
    <w:rsid w:val="007A50D4"/>
    <w:rsid w:val="007A50EB"/>
    <w:rsid w:val="007A5145"/>
    <w:rsid w:val="007A54BA"/>
    <w:rsid w:val="007A55EE"/>
    <w:rsid w:val="007A5909"/>
    <w:rsid w:val="007A5B25"/>
    <w:rsid w:val="007A5E44"/>
    <w:rsid w:val="007A5ED7"/>
    <w:rsid w:val="007A5FFD"/>
    <w:rsid w:val="007A600D"/>
    <w:rsid w:val="007A6118"/>
    <w:rsid w:val="007A6404"/>
    <w:rsid w:val="007A68CF"/>
    <w:rsid w:val="007A69C1"/>
    <w:rsid w:val="007A6F50"/>
    <w:rsid w:val="007A74C9"/>
    <w:rsid w:val="007A7A12"/>
    <w:rsid w:val="007A7FFD"/>
    <w:rsid w:val="007B05B9"/>
    <w:rsid w:val="007B05EC"/>
    <w:rsid w:val="007B06C4"/>
    <w:rsid w:val="007B089C"/>
    <w:rsid w:val="007B09CF"/>
    <w:rsid w:val="007B0EEB"/>
    <w:rsid w:val="007B0F54"/>
    <w:rsid w:val="007B1648"/>
    <w:rsid w:val="007B1923"/>
    <w:rsid w:val="007B1D6C"/>
    <w:rsid w:val="007B1FDC"/>
    <w:rsid w:val="007B2574"/>
    <w:rsid w:val="007B28AA"/>
    <w:rsid w:val="007B2B6E"/>
    <w:rsid w:val="007B31B1"/>
    <w:rsid w:val="007B36EF"/>
    <w:rsid w:val="007B3850"/>
    <w:rsid w:val="007B38B9"/>
    <w:rsid w:val="007B3998"/>
    <w:rsid w:val="007B3AA0"/>
    <w:rsid w:val="007B3D8D"/>
    <w:rsid w:val="007B3F14"/>
    <w:rsid w:val="007B43A0"/>
    <w:rsid w:val="007B4AC7"/>
    <w:rsid w:val="007B4EED"/>
    <w:rsid w:val="007B5519"/>
    <w:rsid w:val="007B555A"/>
    <w:rsid w:val="007B57F4"/>
    <w:rsid w:val="007B5E75"/>
    <w:rsid w:val="007B5F18"/>
    <w:rsid w:val="007B6353"/>
    <w:rsid w:val="007B6393"/>
    <w:rsid w:val="007B6793"/>
    <w:rsid w:val="007B68C3"/>
    <w:rsid w:val="007B6914"/>
    <w:rsid w:val="007B6A2C"/>
    <w:rsid w:val="007B6CD2"/>
    <w:rsid w:val="007B75D4"/>
    <w:rsid w:val="007B77D9"/>
    <w:rsid w:val="007B7B8A"/>
    <w:rsid w:val="007B7CCB"/>
    <w:rsid w:val="007B7E4B"/>
    <w:rsid w:val="007C0027"/>
    <w:rsid w:val="007C04FD"/>
    <w:rsid w:val="007C0F57"/>
    <w:rsid w:val="007C114F"/>
    <w:rsid w:val="007C16C4"/>
    <w:rsid w:val="007C1CF8"/>
    <w:rsid w:val="007C1D6B"/>
    <w:rsid w:val="007C1F34"/>
    <w:rsid w:val="007C206F"/>
    <w:rsid w:val="007C2324"/>
    <w:rsid w:val="007C2447"/>
    <w:rsid w:val="007C2595"/>
    <w:rsid w:val="007C26BF"/>
    <w:rsid w:val="007C2875"/>
    <w:rsid w:val="007C2CD0"/>
    <w:rsid w:val="007C38FC"/>
    <w:rsid w:val="007C3E71"/>
    <w:rsid w:val="007C44D5"/>
    <w:rsid w:val="007C47AE"/>
    <w:rsid w:val="007C4809"/>
    <w:rsid w:val="007C4A6D"/>
    <w:rsid w:val="007C4A8B"/>
    <w:rsid w:val="007C4EED"/>
    <w:rsid w:val="007C50E0"/>
    <w:rsid w:val="007C56DA"/>
    <w:rsid w:val="007C58C1"/>
    <w:rsid w:val="007C5C4B"/>
    <w:rsid w:val="007C6843"/>
    <w:rsid w:val="007C6B6E"/>
    <w:rsid w:val="007C6F58"/>
    <w:rsid w:val="007C6FCA"/>
    <w:rsid w:val="007C7004"/>
    <w:rsid w:val="007C7067"/>
    <w:rsid w:val="007C7319"/>
    <w:rsid w:val="007C73DD"/>
    <w:rsid w:val="007C7780"/>
    <w:rsid w:val="007C7D3A"/>
    <w:rsid w:val="007D0238"/>
    <w:rsid w:val="007D03E6"/>
    <w:rsid w:val="007D051B"/>
    <w:rsid w:val="007D08C0"/>
    <w:rsid w:val="007D0B20"/>
    <w:rsid w:val="007D0C34"/>
    <w:rsid w:val="007D0E86"/>
    <w:rsid w:val="007D0EE8"/>
    <w:rsid w:val="007D1151"/>
    <w:rsid w:val="007D11EE"/>
    <w:rsid w:val="007D1567"/>
    <w:rsid w:val="007D1855"/>
    <w:rsid w:val="007D1E04"/>
    <w:rsid w:val="007D20E2"/>
    <w:rsid w:val="007D21EA"/>
    <w:rsid w:val="007D2251"/>
    <w:rsid w:val="007D2714"/>
    <w:rsid w:val="007D28FC"/>
    <w:rsid w:val="007D2B03"/>
    <w:rsid w:val="007D2F5C"/>
    <w:rsid w:val="007D316A"/>
    <w:rsid w:val="007D3222"/>
    <w:rsid w:val="007D32B0"/>
    <w:rsid w:val="007D32CF"/>
    <w:rsid w:val="007D339D"/>
    <w:rsid w:val="007D3504"/>
    <w:rsid w:val="007D35ED"/>
    <w:rsid w:val="007D3997"/>
    <w:rsid w:val="007D3A36"/>
    <w:rsid w:val="007D3B2B"/>
    <w:rsid w:val="007D3C2F"/>
    <w:rsid w:val="007D3F86"/>
    <w:rsid w:val="007D3F9C"/>
    <w:rsid w:val="007D3FBB"/>
    <w:rsid w:val="007D40BB"/>
    <w:rsid w:val="007D4309"/>
    <w:rsid w:val="007D4591"/>
    <w:rsid w:val="007D465C"/>
    <w:rsid w:val="007D4743"/>
    <w:rsid w:val="007D4A19"/>
    <w:rsid w:val="007D4BD1"/>
    <w:rsid w:val="007D4F38"/>
    <w:rsid w:val="007D53C7"/>
    <w:rsid w:val="007D5AE3"/>
    <w:rsid w:val="007D6192"/>
    <w:rsid w:val="007D63F9"/>
    <w:rsid w:val="007D6C43"/>
    <w:rsid w:val="007D6E6D"/>
    <w:rsid w:val="007D7820"/>
    <w:rsid w:val="007E045B"/>
    <w:rsid w:val="007E06E1"/>
    <w:rsid w:val="007E07AD"/>
    <w:rsid w:val="007E07F3"/>
    <w:rsid w:val="007E085D"/>
    <w:rsid w:val="007E0B68"/>
    <w:rsid w:val="007E0CC5"/>
    <w:rsid w:val="007E1007"/>
    <w:rsid w:val="007E1060"/>
    <w:rsid w:val="007E117E"/>
    <w:rsid w:val="007E176F"/>
    <w:rsid w:val="007E1F64"/>
    <w:rsid w:val="007E20EB"/>
    <w:rsid w:val="007E2118"/>
    <w:rsid w:val="007E21EA"/>
    <w:rsid w:val="007E2312"/>
    <w:rsid w:val="007E2925"/>
    <w:rsid w:val="007E2CAA"/>
    <w:rsid w:val="007E2DF2"/>
    <w:rsid w:val="007E2EE3"/>
    <w:rsid w:val="007E31E2"/>
    <w:rsid w:val="007E349E"/>
    <w:rsid w:val="007E3641"/>
    <w:rsid w:val="007E36E6"/>
    <w:rsid w:val="007E36FA"/>
    <w:rsid w:val="007E3916"/>
    <w:rsid w:val="007E3A67"/>
    <w:rsid w:val="007E3EBA"/>
    <w:rsid w:val="007E4010"/>
    <w:rsid w:val="007E4130"/>
    <w:rsid w:val="007E4698"/>
    <w:rsid w:val="007E4F95"/>
    <w:rsid w:val="007E500E"/>
    <w:rsid w:val="007E59D4"/>
    <w:rsid w:val="007E5B2E"/>
    <w:rsid w:val="007E5B3C"/>
    <w:rsid w:val="007E5E34"/>
    <w:rsid w:val="007E5E8D"/>
    <w:rsid w:val="007E5F00"/>
    <w:rsid w:val="007E60F4"/>
    <w:rsid w:val="007E622E"/>
    <w:rsid w:val="007E648B"/>
    <w:rsid w:val="007E666D"/>
    <w:rsid w:val="007E6A1B"/>
    <w:rsid w:val="007E6AC4"/>
    <w:rsid w:val="007E6DA4"/>
    <w:rsid w:val="007E6FF8"/>
    <w:rsid w:val="007E71B0"/>
    <w:rsid w:val="007E74D7"/>
    <w:rsid w:val="007E76B6"/>
    <w:rsid w:val="007E76D3"/>
    <w:rsid w:val="007E7793"/>
    <w:rsid w:val="007E780A"/>
    <w:rsid w:val="007E7956"/>
    <w:rsid w:val="007E79DB"/>
    <w:rsid w:val="007E7AAB"/>
    <w:rsid w:val="007E7BE9"/>
    <w:rsid w:val="007E7C4D"/>
    <w:rsid w:val="007F0076"/>
    <w:rsid w:val="007F02D5"/>
    <w:rsid w:val="007F0E2D"/>
    <w:rsid w:val="007F1010"/>
    <w:rsid w:val="007F113C"/>
    <w:rsid w:val="007F15B9"/>
    <w:rsid w:val="007F19A6"/>
    <w:rsid w:val="007F1AF0"/>
    <w:rsid w:val="007F1F1C"/>
    <w:rsid w:val="007F1FCC"/>
    <w:rsid w:val="007F204B"/>
    <w:rsid w:val="007F20AE"/>
    <w:rsid w:val="007F21BF"/>
    <w:rsid w:val="007F2538"/>
    <w:rsid w:val="007F2B12"/>
    <w:rsid w:val="007F2DD3"/>
    <w:rsid w:val="007F2F5A"/>
    <w:rsid w:val="007F3299"/>
    <w:rsid w:val="007F3516"/>
    <w:rsid w:val="007F37F0"/>
    <w:rsid w:val="007F3F4B"/>
    <w:rsid w:val="007F4379"/>
    <w:rsid w:val="007F47CE"/>
    <w:rsid w:val="007F4F0D"/>
    <w:rsid w:val="007F5166"/>
    <w:rsid w:val="007F5541"/>
    <w:rsid w:val="007F5832"/>
    <w:rsid w:val="007F5A48"/>
    <w:rsid w:val="007F5ED1"/>
    <w:rsid w:val="007F60B4"/>
    <w:rsid w:val="007F61B8"/>
    <w:rsid w:val="007F63A4"/>
    <w:rsid w:val="007F64C3"/>
    <w:rsid w:val="007F6695"/>
    <w:rsid w:val="007F66CE"/>
    <w:rsid w:val="007F6CDC"/>
    <w:rsid w:val="007F6D0B"/>
    <w:rsid w:val="007F6DC0"/>
    <w:rsid w:val="007F7627"/>
    <w:rsid w:val="007F76E8"/>
    <w:rsid w:val="007F7B37"/>
    <w:rsid w:val="007F7B66"/>
    <w:rsid w:val="007F7EAB"/>
    <w:rsid w:val="00800900"/>
    <w:rsid w:val="008009F8"/>
    <w:rsid w:val="00800CD4"/>
    <w:rsid w:val="00800EA4"/>
    <w:rsid w:val="008010D2"/>
    <w:rsid w:val="008011AF"/>
    <w:rsid w:val="0080150B"/>
    <w:rsid w:val="00801A89"/>
    <w:rsid w:val="00801F54"/>
    <w:rsid w:val="00801FC6"/>
    <w:rsid w:val="00802284"/>
    <w:rsid w:val="0080262F"/>
    <w:rsid w:val="008027B8"/>
    <w:rsid w:val="00802B21"/>
    <w:rsid w:val="00802D36"/>
    <w:rsid w:val="00802E7F"/>
    <w:rsid w:val="00803164"/>
    <w:rsid w:val="008031A2"/>
    <w:rsid w:val="008033D1"/>
    <w:rsid w:val="00803E0B"/>
    <w:rsid w:val="00803E3B"/>
    <w:rsid w:val="00803EAE"/>
    <w:rsid w:val="008040A6"/>
    <w:rsid w:val="008040DE"/>
    <w:rsid w:val="00804188"/>
    <w:rsid w:val="008047FC"/>
    <w:rsid w:val="00804818"/>
    <w:rsid w:val="00804CDD"/>
    <w:rsid w:val="00804D7C"/>
    <w:rsid w:val="0080500E"/>
    <w:rsid w:val="008055AF"/>
    <w:rsid w:val="00805B30"/>
    <w:rsid w:val="00805B8C"/>
    <w:rsid w:val="00805E05"/>
    <w:rsid w:val="00805E0B"/>
    <w:rsid w:val="00805FF6"/>
    <w:rsid w:val="008060EC"/>
    <w:rsid w:val="00806104"/>
    <w:rsid w:val="0080611D"/>
    <w:rsid w:val="00806861"/>
    <w:rsid w:val="00806CAD"/>
    <w:rsid w:val="00806F81"/>
    <w:rsid w:val="0080711C"/>
    <w:rsid w:val="00807126"/>
    <w:rsid w:val="008071E9"/>
    <w:rsid w:val="008074DE"/>
    <w:rsid w:val="00807537"/>
    <w:rsid w:val="008075D9"/>
    <w:rsid w:val="008077B9"/>
    <w:rsid w:val="00807940"/>
    <w:rsid w:val="00807A43"/>
    <w:rsid w:val="00807CD7"/>
    <w:rsid w:val="00807EA3"/>
    <w:rsid w:val="0081058D"/>
    <w:rsid w:val="008105E6"/>
    <w:rsid w:val="00810835"/>
    <w:rsid w:val="008108D3"/>
    <w:rsid w:val="00810A79"/>
    <w:rsid w:val="00810C8B"/>
    <w:rsid w:val="00810EB9"/>
    <w:rsid w:val="00810FD6"/>
    <w:rsid w:val="00811637"/>
    <w:rsid w:val="008116CD"/>
    <w:rsid w:val="008117B7"/>
    <w:rsid w:val="00811806"/>
    <w:rsid w:val="00811854"/>
    <w:rsid w:val="00811872"/>
    <w:rsid w:val="008119C0"/>
    <w:rsid w:val="00811E0F"/>
    <w:rsid w:val="00811FB9"/>
    <w:rsid w:val="0081259E"/>
    <w:rsid w:val="008127FA"/>
    <w:rsid w:val="008129EC"/>
    <w:rsid w:val="00812A9B"/>
    <w:rsid w:val="008132C6"/>
    <w:rsid w:val="008134AB"/>
    <w:rsid w:val="00813539"/>
    <w:rsid w:val="0081383E"/>
    <w:rsid w:val="00813899"/>
    <w:rsid w:val="00813B14"/>
    <w:rsid w:val="00813D59"/>
    <w:rsid w:val="00813E3E"/>
    <w:rsid w:val="00814027"/>
    <w:rsid w:val="0081433B"/>
    <w:rsid w:val="0081464C"/>
    <w:rsid w:val="0081476D"/>
    <w:rsid w:val="008149BB"/>
    <w:rsid w:val="00814D97"/>
    <w:rsid w:val="00815017"/>
    <w:rsid w:val="008152C7"/>
    <w:rsid w:val="008153D1"/>
    <w:rsid w:val="0081555A"/>
    <w:rsid w:val="008155A8"/>
    <w:rsid w:val="008155E3"/>
    <w:rsid w:val="0081622A"/>
    <w:rsid w:val="00816272"/>
    <w:rsid w:val="00816561"/>
    <w:rsid w:val="00816DEE"/>
    <w:rsid w:val="00816E63"/>
    <w:rsid w:val="0081711F"/>
    <w:rsid w:val="00817CAC"/>
    <w:rsid w:val="00817E32"/>
    <w:rsid w:val="008202FD"/>
    <w:rsid w:val="0082037A"/>
    <w:rsid w:val="00820654"/>
    <w:rsid w:val="008207CF"/>
    <w:rsid w:val="0082080C"/>
    <w:rsid w:val="008208FE"/>
    <w:rsid w:val="00820952"/>
    <w:rsid w:val="00820957"/>
    <w:rsid w:val="00820972"/>
    <w:rsid w:val="00820D15"/>
    <w:rsid w:val="008216BF"/>
    <w:rsid w:val="00821741"/>
    <w:rsid w:val="008217A3"/>
    <w:rsid w:val="008219FB"/>
    <w:rsid w:val="008222FA"/>
    <w:rsid w:val="00822436"/>
    <w:rsid w:val="00822791"/>
    <w:rsid w:val="008227AA"/>
    <w:rsid w:val="00822803"/>
    <w:rsid w:val="0082281A"/>
    <w:rsid w:val="00822B81"/>
    <w:rsid w:val="0082304F"/>
    <w:rsid w:val="008237D7"/>
    <w:rsid w:val="00823E32"/>
    <w:rsid w:val="00823E4A"/>
    <w:rsid w:val="00824237"/>
    <w:rsid w:val="00824C00"/>
    <w:rsid w:val="00824CE5"/>
    <w:rsid w:val="00824D72"/>
    <w:rsid w:val="00824FED"/>
    <w:rsid w:val="00825008"/>
    <w:rsid w:val="00825574"/>
    <w:rsid w:val="00825D9B"/>
    <w:rsid w:val="00825DC6"/>
    <w:rsid w:val="00825E19"/>
    <w:rsid w:val="00825E8D"/>
    <w:rsid w:val="0082603B"/>
    <w:rsid w:val="008260F5"/>
    <w:rsid w:val="00826173"/>
    <w:rsid w:val="0082634D"/>
    <w:rsid w:val="00826506"/>
    <w:rsid w:val="00826577"/>
    <w:rsid w:val="008266D0"/>
    <w:rsid w:val="00826829"/>
    <w:rsid w:val="00826998"/>
    <w:rsid w:val="00826F8B"/>
    <w:rsid w:val="00827591"/>
    <w:rsid w:val="008278EE"/>
    <w:rsid w:val="00830058"/>
    <w:rsid w:val="008300D4"/>
    <w:rsid w:val="008305B6"/>
    <w:rsid w:val="00830771"/>
    <w:rsid w:val="00830977"/>
    <w:rsid w:val="0083099D"/>
    <w:rsid w:val="00830A18"/>
    <w:rsid w:val="00830B0E"/>
    <w:rsid w:val="00830BDB"/>
    <w:rsid w:val="00831904"/>
    <w:rsid w:val="00831928"/>
    <w:rsid w:val="00831C5E"/>
    <w:rsid w:val="00831FFB"/>
    <w:rsid w:val="0083243F"/>
    <w:rsid w:val="00832541"/>
    <w:rsid w:val="008326D8"/>
    <w:rsid w:val="00832B25"/>
    <w:rsid w:val="00832B5B"/>
    <w:rsid w:val="00832E7C"/>
    <w:rsid w:val="00833526"/>
    <w:rsid w:val="008339D2"/>
    <w:rsid w:val="008341A6"/>
    <w:rsid w:val="008343C1"/>
    <w:rsid w:val="008343C7"/>
    <w:rsid w:val="008347FA"/>
    <w:rsid w:val="00834C8E"/>
    <w:rsid w:val="0083525F"/>
    <w:rsid w:val="00835544"/>
    <w:rsid w:val="0083569F"/>
    <w:rsid w:val="008358CA"/>
    <w:rsid w:val="00835919"/>
    <w:rsid w:val="00835FEB"/>
    <w:rsid w:val="00836276"/>
    <w:rsid w:val="008363E9"/>
    <w:rsid w:val="00836733"/>
    <w:rsid w:val="00836A73"/>
    <w:rsid w:val="00836AF1"/>
    <w:rsid w:val="00836B49"/>
    <w:rsid w:val="00836E4D"/>
    <w:rsid w:val="0083710F"/>
    <w:rsid w:val="008377DB"/>
    <w:rsid w:val="00837A36"/>
    <w:rsid w:val="00840270"/>
    <w:rsid w:val="00840325"/>
    <w:rsid w:val="008403C2"/>
    <w:rsid w:val="00840D80"/>
    <w:rsid w:val="00840E91"/>
    <w:rsid w:val="00840F57"/>
    <w:rsid w:val="00841030"/>
    <w:rsid w:val="0084114E"/>
    <w:rsid w:val="008411ED"/>
    <w:rsid w:val="00841296"/>
    <w:rsid w:val="00841508"/>
    <w:rsid w:val="00841B2A"/>
    <w:rsid w:val="00841B83"/>
    <w:rsid w:val="00841B97"/>
    <w:rsid w:val="008426CD"/>
    <w:rsid w:val="00842829"/>
    <w:rsid w:val="00842931"/>
    <w:rsid w:val="00842BA1"/>
    <w:rsid w:val="00842C76"/>
    <w:rsid w:val="00842DD7"/>
    <w:rsid w:val="00842DFD"/>
    <w:rsid w:val="0084333C"/>
    <w:rsid w:val="008433AF"/>
    <w:rsid w:val="008433C9"/>
    <w:rsid w:val="00843551"/>
    <w:rsid w:val="00843717"/>
    <w:rsid w:val="00843B02"/>
    <w:rsid w:val="008443D6"/>
    <w:rsid w:val="0084445C"/>
    <w:rsid w:val="008445CD"/>
    <w:rsid w:val="00844FB9"/>
    <w:rsid w:val="0084519D"/>
    <w:rsid w:val="008451B6"/>
    <w:rsid w:val="0084579B"/>
    <w:rsid w:val="008459C5"/>
    <w:rsid w:val="00845CE7"/>
    <w:rsid w:val="00845F2A"/>
    <w:rsid w:val="00846146"/>
    <w:rsid w:val="008461CC"/>
    <w:rsid w:val="008467F6"/>
    <w:rsid w:val="00846AFF"/>
    <w:rsid w:val="00846B4B"/>
    <w:rsid w:val="00846BF1"/>
    <w:rsid w:val="00846E34"/>
    <w:rsid w:val="0084722C"/>
    <w:rsid w:val="008475C6"/>
    <w:rsid w:val="008478AA"/>
    <w:rsid w:val="008478F1"/>
    <w:rsid w:val="008479AE"/>
    <w:rsid w:val="00847BBB"/>
    <w:rsid w:val="00850332"/>
    <w:rsid w:val="0085046A"/>
    <w:rsid w:val="008507CF"/>
    <w:rsid w:val="0085097A"/>
    <w:rsid w:val="008519D9"/>
    <w:rsid w:val="00851BC2"/>
    <w:rsid w:val="00851E6A"/>
    <w:rsid w:val="00851FAE"/>
    <w:rsid w:val="008523CC"/>
    <w:rsid w:val="00852781"/>
    <w:rsid w:val="00852F26"/>
    <w:rsid w:val="00852F5C"/>
    <w:rsid w:val="008533FA"/>
    <w:rsid w:val="00853837"/>
    <w:rsid w:val="0085395A"/>
    <w:rsid w:val="00853D58"/>
    <w:rsid w:val="00853EE2"/>
    <w:rsid w:val="00854369"/>
    <w:rsid w:val="00854563"/>
    <w:rsid w:val="0085459A"/>
    <w:rsid w:val="008546C5"/>
    <w:rsid w:val="00854720"/>
    <w:rsid w:val="00854802"/>
    <w:rsid w:val="00854C86"/>
    <w:rsid w:val="00854FFF"/>
    <w:rsid w:val="0085526E"/>
    <w:rsid w:val="0085559C"/>
    <w:rsid w:val="00855BFE"/>
    <w:rsid w:val="008561DA"/>
    <w:rsid w:val="008561E3"/>
    <w:rsid w:val="00856AAE"/>
    <w:rsid w:val="0085720C"/>
    <w:rsid w:val="00857360"/>
    <w:rsid w:val="00857497"/>
    <w:rsid w:val="008574E7"/>
    <w:rsid w:val="0085767F"/>
    <w:rsid w:val="00857BF2"/>
    <w:rsid w:val="00860203"/>
    <w:rsid w:val="00860262"/>
    <w:rsid w:val="008602B4"/>
    <w:rsid w:val="008603CC"/>
    <w:rsid w:val="00860414"/>
    <w:rsid w:val="00860515"/>
    <w:rsid w:val="008606BB"/>
    <w:rsid w:val="00860BED"/>
    <w:rsid w:val="00860C35"/>
    <w:rsid w:val="00861093"/>
    <w:rsid w:val="008611C7"/>
    <w:rsid w:val="00861260"/>
    <w:rsid w:val="0086178B"/>
    <w:rsid w:val="0086188D"/>
    <w:rsid w:val="00861B21"/>
    <w:rsid w:val="00861E06"/>
    <w:rsid w:val="00861FA9"/>
    <w:rsid w:val="008624C6"/>
    <w:rsid w:val="00862548"/>
    <w:rsid w:val="00862AED"/>
    <w:rsid w:val="00862DD2"/>
    <w:rsid w:val="00862FD9"/>
    <w:rsid w:val="00864032"/>
    <w:rsid w:val="008642BC"/>
    <w:rsid w:val="00864476"/>
    <w:rsid w:val="00864506"/>
    <w:rsid w:val="00864822"/>
    <w:rsid w:val="00864BEA"/>
    <w:rsid w:val="00864CA5"/>
    <w:rsid w:val="00864F4F"/>
    <w:rsid w:val="008656F3"/>
    <w:rsid w:val="00865A01"/>
    <w:rsid w:val="00865A6A"/>
    <w:rsid w:val="00865C40"/>
    <w:rsid w:val="00865EC3"/>
    <w:rsid w:val="00866241"/>
    <w:rsid w:val="008664F0"/>
    <w:rsid w:val="008667C8"/>
    <w:rsid w:val="008667E5"/>
    <w:rsid w:val="00866912"/>
    <w:rsid w:val="0086699B"/>
    <w:rsid w:val="00866DBC"/>
    <w:rsid w:val="00866E02"/>
    <w:rsid w:val="00867041"/>
    <w:rsid w:val="0086734A"/>
    <w:rsid w:val="0086744D"/>
    <w:rsid w:val="008675C6"/>
    <w:rsid w:val="00867A38"/>
    <w:rsid w:val="00867A66"/>
    <w:rsid w:val="00867E33"/>
    <w:rsid w:val="00867F18"/>
    <w:rsid w:val="0087005D"/>
    <w:rsid w:val="008702B8"/>
    <w:rsid w:val="0087063D"/>
    <w:rsid w:val="00870BBB"/>
    <w:rsid w:val="00870CE9"/>
    <w:rsid w:val="00871133"/>
    <w:rsid w:val="00871E9C"/>
    <w:rsid w:val="0087229F"/>
    <w:rsid w:val="0087241F"/>
    <w:rsid w:val="008729DF"/>
    <w:rsid w:val="00872AF7"/>
    <w:rsid w:val="008730F8"/>
    <w:rsid w:val="00873219"/>
    <w:rsid w:val="008733DC"/>
    <w:rsid w:val="008734D3"/>
    <w:rsid w:val="008734E0"/>
    <w:rsid w:val="008736DD"/>
    <w:rsid w:val="00873BCA"/>
    <w:rsid w:val="00873E7B"/>
    <w:rsid w:val="0087430D"/>
    <w:rsid w:val="00874455"/>
    <w:rsid w:val="0087480B"/>
    <w:rsid w:val="00875189"/>
    <w:rsid w:val="008751F4"/>
    <w:rsid w:val="0087534B"/>
    <w:rsid w:val="008755E7"/>
    <w:rsid w:val="00875623"/>
    <w:rsid w:val="0087576A"/>
    <w:rsid w:val="00875B14"/>
    <w:rsid w:val="00875F78"/>
    <w:rsid w:val="00875F99"/>
    <w:rsid w:val="0087621F"/>
    <w:rsid w:val="00876262"/>
    <w:rsid w:val="00876425"/>
    <w:rsid w:val="0087656F"/>
    <w:rsid w:val="00876747"/>
    <w:rsid w:val="00876824"/>
    <w:rsid w:val="00876BFD"/>
    <w:rsid w:val="00876C9C"/>
    <w:rsid w:val="00876D47"/>
    <w:rsid w:val="00876DDA"/>
    <w:rsid w:val="00877093"/>
    <w:rsid w:val="0087720C"/>
    <w:rsid w:val="0087775B"/>
    <w:rsid w:val="008778F9"/>
    <w:rsid w:val="00877BD8"/>
    <w:rsid w:val="00877D6F"/>
    <w:rsid w:val="00880316"/>
    <w:rsid w:val="00881054"/>
    <w:rsid w:val="0088138C"/>
    <w:rsid w:val="00881416"/>
    <w:rsid w:val="0088150B"/>
    <w:rsid w:val="00881652"/>
    <w:rsid w:val="0088181C"/>
    <w:rsid w:val="0088186E"/>
    <w:rsid w:val="00881890"/>
    <w:rsid w:val="00881B6D"/>
    <w:rsid w:val="00881BAA"/>
    <w:rsid w:val="00881BE6"/>
    <w:rsid w:val="00881EA6"/>
    <w:rsid w:val="00882016"/>
    <w:rsid w:val="00882098"/>
    <w:rsid w:val="008821A4"/>
    <w:rsid w:val="00882322"/>
    <w:rsid w:val="00882907"/>
    <w:rsid w:val="008830A5"/>
    <w:rsid w:val="00883126"/>
    <w:rsid w:val="00883229"/>
    <w:rsid w:val="00883756"/>
    <w:rsid w:val="00883881"/>
    <w:rsid w:val="0088389E"/>
    <w:rsid w:val="00883973"/>
    <w:rsid w:val="00883AA6"/>
    <w:rsid w:val="00883AED"/>
    <w:rsid w:val="00883C4B"/>
    <w:rsid w:val="00883FC6"/>
    <w:rsid w:val="00883FE2"/>
    <w:rsid w:val="008842EE"/>
    <w:rsid w:val="008846D7"/>
    <w:rsid w:val="00884969"/>
    <w:rsid w:val="00885216"/>
    <w:rsid w:val="0088531B"/>
    <w:rsid w:val="00885545"/>
    <w:rsid w:val="0088585C"/>
    <w:rsid w:val="008859D7"/>
    <w:rsid w:val="00885C09"/>
    <w:rsid w:val="00885CEB"/>
    <w:rsid w:val="00885DE6"/>
    <w:rsid w:val="00885F0F"/>
    <w:rsid w:val="008861E8"/>
    <w:rsid w:val="008863C1"/>
    <w:rsid w:val="00886583"/>
    <w:rsid w:val="008865D5"/>
    <w:rsid w:val="008865E3"/>
    <w:rsid w:val="00886608"/>
    <w:rsid w:val="00886769"/>
    <w:rsid w:val="00886810"/>
    <w:rsid w:val="00886B74"/>
    <w:rsid w:val="00886C6B"/>
    <w:rsid w:val="00886CE8"/>
    <w:rsid w:val="00886DDF"/>
    <w:rsid w:val="00886E84"/>
    <w:rsid w:val="00886FCC"/>
    <w:rsid w:val="008874D7"/>
    <w:rsid w:val="0088793F"/>
    <w:rsid w:val="00887996"/>
    <w:rsid w:val="00887A02"/>
    <w:rsid w:val="00887A93"/>
    <w:rsid w:val="00887D74"/>
    <w:rsid w:val="00887F4E"/>
    <w:rsid w:val="00887FA0"/>
    <w:rsid w:val="0089016D"/>
    <w:rsid w:val="008906C2"/>
    <w:rsid w:val="008909BF"/>
    <w:rsid w:val="00890A3F"/>
    <w:rsid w:val="00890AF8"/>
    <w:rsid w:val="00890FD3"/>
    <w:rsid w:val="008916D2"/>
    <w:rsid w:val="00891B75"/>
    <w:rsid w:val="00891E26"/>
    <w:rsid w:val="00891E86"/>
    <w:rsid w:val="00891E97"/>
    <w:rsid w:val="00891ED9"/>
    <w:rsid w:val="00892348"/>
    <w:rsid w:val="008928C8"/>
    <w:rsid w:val="00892A32"/>
    <w:rsid w:val="00892C6F"/>
    <w:rsid w:val="00892D30"/>
    <w:rsid w:val="00893095"/>
    <w:rsid w:val="0089333F"/>
    <w:rsid w:val="0089346F"/>
    <w:rsid w:val="00893592"/>
    <w:rsid w:val="008935B0"/>
    <w:rsid w:val="0089374A"/>
    <w:rsid w:val="00893811"/>
    <w:rsid w:val="00893C20"/>
    <w:rsid w:val="00893E84"/>
    <w:rsid w:val="008942BE"/>
    <w:rsid w:val="00894303"/>
    <w:rsid w:val="00894750"/>
    <w:rsid w:val="00894A9A"/>
    <w:rsid w:val="00894D43"/>
    <w:rsid w:val="00895288"/>
    <w:rsid w:val="00895C3B"/>
    <w:rsid w:val="00896271"/>
    <w:rsid w:val="00896296"/>
    <w:rsid w:val="00896692"/>
    <w:rsid w:val="00896A92"/>
    <w:rsid w:val="00896BBF"/>
    <w:rsid w:val="0089719E"/>
    <w:rsid w:val="008972A7"/>
    <w:rsid w:val="008A039C"/>
    <w:rsid w:val="008A03C5"/>
    <w:rsid w:val="008A0585"/>
    <w:rsid w:val="008A07A4"/>
    <w:rsid w:val="008A07FC"/>
    <w:rsid w:val="008A0AEE"/>
    <w:rsid w:val="008A0D4E"/>
    <w:rsid w:val="008A1012"/>
    <w:rsid w:val="008A1528"/>
    <w:rsid w:val="008A1669"/>
    <w:rsid w:val="008A16B8"/>
    <w:rsid w:val="008A16ED"/>
    <w:rsid w:val="008A1891"/>
    <w:rsid w:val="008A1C57"/>
    <w:rsid w:val="008A1F7B"/>
    <w:rsid w:val="008A2008"/>
    <w:rsid w:val="008A23FC"/>
    <w:rsid w:val="008A2481"/>
    <w:rsid w:val="008A2811"/>
    <w:rsid w:val="008A2C41"/>
    <w:rsid w:val="008A2DA1"/>
    <w:rsid w:val="008A3010"/>
    <w:rsid w:val="008A3822"/>
    <w:rsid w:val="008A3950"/>
    <w:rsid w:val="008A3B04"/>
    <w:rsid w:val="008A3EC2"/>
    <w:rsid w:val="008A4317"/>
    <w:rsid w:val="008A4873"/>
    <w:rsid w:val="008A4B19"/>
    <w:rsid w:val="008A4E1C"/>
    <w:rsid w:val="008A4E6B"/>
    <w:rsid w:val="008A51E7"/>
    <w:rsid w:val="008A5A22"/>
    <w:rsid w:val="008A5E4C"/>
    <w:rsid w:val="008A60E4"/>
    <w:rsid w:val="008A61E3"/>
    <w:rsid w:val="008A678C"/>
    <w:rsid w:val="008A67D4"/>
    <w:rsid w:val="008A680B"/>
    <w:rsid w:val="008A695F"/>
    <w:rsid w:val="008A6D5E"/>
    <w:rsid w:val="008A7315"/>
    <w:rsid w:val="008A7626"/>
    <w:rsid w:val="008A791C"/>
    <w:rsid w:val="008A79B1"/>
    <w:rsid w:val="008A7B1C"/>
    <w:rsid w:val="008A7BBC"/>
    <w:rsid w:val="008A7FE3"/>
    <w:rsid w:val="008B029E"/>
    <w:rsid w:val="008B02E3"/>
    <w:rsid w:val="008B0777"/>
    <w:rsid w:val="008B0D66"/>
    <w:rsid w:val="008B0E3D"/>
    <w:rsid w:val="008B0E9B"/>
    <w:rsid w:val="008B11A9"/>
    <w:rsid w:val="008B1796"/>
    <w:rsid w:val="008B2242"/>
    <w:rsid w:val="008B2CAC"/>
    <w:rsid w:val="008B2E92"/>
    <w:rsid w:val="008B2F15"/>
    <w:rsid w:val="008B317B"/>
    <w:rsid w:val="008B39E9"/>
    <w:rsid w:val="008B3F00"/>
    <w:rsid w:val="008B4095"/>
    <w:rsid w:val="008B4169"/>
    <w:rsid w:val="008B4303"/>
    <w:rsid w:val="008B446E"/>
    <w:rsid w:val="008B4952"/>
    <w:rsid w:val="008B4E42"/>
    <w:rsid w:val="008B515B"/>
    <w:rsid w:val="008B52B9"/>
    <w:rsid w:val="008B5B2A"/>
    <w:rsid w:val="008B5C8A"/>
    <w:rsid w:val="008B5D7D"/>
    <w:rsid w:val="008B5E50"/>
    <w:rsid w:val="008B61DF"/>
    <w:rsid w:val="008B6641"/>
    <w:rsid w:val="008B667B"/>
    <w:rsid w:val="008B694A"/>
    <w:rsid w:val="008B69A9"/>
    <w:rsid w:val="008B6C09"/>
    <w:rsid w:val="008B6C44"/>
    <w:rsid w:val="008B6D63"/>
    <w:rsid w:val="008B6EC1"/>
    <w:rsid w:val="008B702C"/>
    <w:rsid w:val="008B70CA"/>
    <w:rsid w:val="008B7464"/>
    <w:rsid w:val="008B7B2E"/>
    <w:rsid w:val="008C034C"/>
    <w:rsid w:val="008C0437"/>
    <w:rsid w:val="008C0775"/>
    <w:rsid w:val="008C08B1"/>
    <w:rsid w:val="008C0C32"/>
    <w:rsid w:val="008C0C94"/>
    <w:rsid w:val="008C0D3E"/>
    <w:rsid w:val="008C13D9"/>
    <w:rsid w:val="008C14A3"/>
    <w:rsid w:val="008C14C4"/>
    <w:rsid w:val="008C150D"/>
    <w:rsid w:val="008C1605"/>
    <w:rsid w:val="008C1653"/>
    <w:rsid w:val="008C17EF"/>
    <w:rsid w:val="008C17FE"/>
    <w:rsid w:val="008C189C"/>
    <w:rsid w:val="008C1933"/>
    <w:rsid w:val="008C19C9"/>
    <w:rsid w:val="008C1D58"/>
    <w:rsid w:val="008C1F61"/>
    <w:rsid w:val="008C2798"/>
    <w:rsid w:val="008C2981"/>
    <w:rsid w:val="008C29A5"/>
    <w:rsid w:val="008C2F7A"/>
    <w:rsid w:val="008C34B7"/>
    <w:rsid w:val="008C3646"/>
    <w:rsid w:val="008C364D"/>
    <w:rsid w:val="008C38D0"/>
    <w:rsid w:val="008C38E4"/>
    <w:rsid w:val="008C38F6"/>
    <w:rsid w:val="008C3BED"/>
    <w:rsid w:val="008C40B2"/>
    <w:rsid w:val="008C4160"/>
    <w:rsid w:val="008C4764"/>
    <w:rsid w:val="008C4A11"/>
    <w:rsid w:val="008C4CC6"/>
    <w:rsid w:val="008C4D26"/>
    <w:rsid w:val="008C56C5"/>
    <w:rsid w:val="008C5A07"/>
    <w:rsid w:val="008C5A0F"/>
    <w:rsid w:val="008C5AEB"/>
    <w:rsid w:val="008C608F"/>
    <w:rsid w:val="008C67B4"/>
    <w:rsid w:val="008C6B2A"/>
    <w:rsid w:val="008C6B53"/>
    <w:rsid w:val="008C77C6"/>
    <w:rsid w:val="008C7A50"/>
    <w:rsid w:val="008C7C56"/>
    <w:rsid w:val="008C7D79"/>
    <w:rsid w:val="008D0192"/>
    <w:rsid w:val="008D02C6"/>
    <w:rsid w:val="008D04FF"/>
    <w:rsid w:val="008D068F"/>
    <w:rsid w:val="008D085F"/>
    <w:rsid w:val="008D08AC"/>
    <w:rsid w:val="008D0A32"/>
    <w:rsid w:val="008D0B79"/>
    <w:rsid w:val="008D169E"/>
    <w:rsid w:val="008D17B8"/>
    <w:rsid w:val="008D18CA"/>
    <w:rsid w:val="008D1C60"/>
    <w:rsid w:val="008D1DD2"/>
    <w:rsid w:val="008D1E8B"/>
    <w:rsid w:val="008D25CA"/>
    <w:rsid w:val="008D29D6"/>
    <w:rsid w:val="008D2AA4"/>
    <w:rsid w:val="008D2B34"/>
    <w:rsid w:val="008D2B76"/>
    <w:rsid w:val="008D2D6D"/>
    <w:rsid w:val="008D31FA"/>
    <w:rsid w:val="008D32A6"/>
    <w:rsid w:val="008D3B8D"/>
    <w:rsid w:val="008D3E1C"/>
    <w:rsid w:val="008D459D"/>
    <w:rsid w:val="008D4AD0"/>
    <w:rsid w:val="008D4F8F"/>
    <w:rsid w:val="008D510D"/>
    <w:rsid w:val="008D535F"/>
    <w:rsid w:val="008D53BE"/>
    <w:rsid w:val="008D57E5"/>
    <w:rsid w:val="008D5B22"/>
    <w:rsid w:val="008D5B79"/>
    <w:rsid w:val="008D658F"/>
    <w:rsid w:val="008D67CA"/>
    <w:rsid w:val="008D6850"/>
    <w:rsid w:val="008D6B6B"/>
    <w:rsid w:val="008D6CFB"/>
    <w:rsid w:val="008D6D97"/>
    <w:rsid w:val="008D6D9D"/>
    <w:rsid w:val="008D7069"/>
    <w:rsid w:val="008D70A3"/>
    <w:rsid w:val="008D717F"/>
    <w:rsid w:val="008D74DC"/>
    <w:rsid w:val="008D75BF"/>
    <w:rsid w:val="008D7700"/>
    <w:rsid w:val="008D77C2"/>
    <w:rsid w:val="008D7D41"/>
    <w:rsid w:val="008E022A"/>
    <w:rsid w:val="008E0AF9"/>
    <w:rsid w:val="008E0B92"/>
    <w:rsid w:val="008E0E8F"/>
    <w:rsid w:val="008E0F13"/>
    <w:rsid w:val="008E11E8"/>
    <w:rsid w:val="008E1482"/>
    <w:rsid w:val="008E16F2"/>
    <w:rsid w:val="008E1775"/>
    <w:rsid w:val="008E19F4"/>
    <w:rsid w:val="008E1D7F"/>
    <w:rsid w:val="008E1D88"/>
    <w:rsid w:val="008E21F4"/>
    <w:rsid w:val="008E25A0"/>
    <w:rsid w:val="008E2AB8"/>
    <w:rsid w:val="008E2B47"/>
    <w:rsid w:val="008E2F6A"/>
    <w:rsid w:val="008E34F9"/>
    <w:rsid w:val="008E36EB"/>
    <w:rsid w:val="008E3784"/>
    <w:rsid w:val="008E3A5C"/>
    <w:rsid w:val="008E3ECB"/>
    <w:rsid w:val="008E45B8"/>
    <w:rsid w:val="008E4739"/>
    <w:rsid w:val="008E4AC1"/>
    <w:rsid w:val="008E4B52"/>
    <w:rsid w:val="008E4B9B"/>
    <w:rsid w:val="008E5401"/>
    <w:rsid w:val="008E569C"/>
    <w:rsid w:val="008E56FB"/>
    <w:rsid w:val="008E5BE4"/>
    <w:rsid w:val="008E5DA8"/>
    <w:rsid w:val="008E62C7"/>
    <w:rsid w:val="008E6CE0"/>
    <w:rsid w:val="008E6D1D"/>
    <w:rsid w:val="008E70A7"/>
    <w:rsid w:val="008E73DB"/>
    <w:rsid w:val="008E7446"/>
    <w:rsid w:val="008E76A0"/>
    <w:rsid w:val="008E77D9"/>
    <w:rsid w:val="008E7C71"/>
    <w:rsid w:val="008E7C98"/>
    <w:rsid w:val="008E7E2F"/>
    <w:rsid w:val="008F008E"/>
    <w:rsid w:val="008F00E4"/>
    <w:rsid w:val="008F0201"/>
    <w:rsid w:val="008F05E8"/>
    <w:rsid w:val="008F0889"/>
    <w:rsid w:val="008F0CF7"/>
    <w:rsid w:val="008F0F00"/>
    <w:rsid w:val="008F1200"/>
    <w:rsid w:val="008F1255"/>
    <w:rsid w:val="008F15E3"/>
    <w:rsid w:val="008F1A77"/>
    <w:rsid w:val="008F1E83"/>
    <w:rsid w:val="008F1E8E"/>
    <w:rsid w:val="008F1F23"/>
    <w:rsid w:val="008F2190"/>
    <w:rsid w:val="008F236F"/>
    <w:rsid w:val="008F2436"/>
    <w:rsid w:val="008F2521"/>
    <w:rsid w:val="008F2541"/>
    <w:rsid w:val="008F277E"/>
    <w:rsid w:val="008F3004"/>
    <w:rsid w:val="008F3353"/>
    <w:rsid w:val="008F39D6"/>
    <w:rsid w:val="008F3A18"/>
    <w:rsid w:val="008F40C3"/>
    <w:rsid w:val="008F417E"/>
    <w:rsid w:val="008F4277"/>
    <w:rsid w:val="008F45EC"/>
    <w:rsid w:val="008F45EE"/>
    <w:rsid w:val="008F45F4"/>
    <w:rsid w:val="008F4F26"/>
    <w:rsid w:val="008F5034"/>
    <w:rsid w:val="008F51DE"/>
    <w:rsid w:val="008F532F"/>
    <w:rsid w:val="008F5775"/>
    <w:rsid w:val="008F5869"/>
    <w:rsid w:val="008F586C"/>
    <w:rsid w:val="008F595B"/>
    <w:rsid w:val="008F5AF0"/>
    <w:rsid w:val="008F5B5E"/>
    <w:rsid w:val="008F5C60"/>
    <w:rsid w:val="008F5F04"/>
    <w:rsid w:val="008F609B"/>
    <w:rsid w:val="008F6676"/>
    <w:rsid w:val="008F6A58"/>
    <w:rsid w:val="008F6BB2"/>
    <w:rsid w:val="008F71F0"/>
    <w:rsid w:val="008F7469"/>
    <w:rsid w:val="008F74CE"/>
    <w:rsid w:val="008F7721"/>
    <w:rsid w:val="008F77AE"/>
    <w:rsid w:val="008F78AF"/>
    <w:rsid w:val="008F79E9"/>
    <w:rsid w:val="008F7A2E"/>
    <w:rsid w:val="008F7D80"/>
    <w:rsid w:val="008F7E34"/>
    <w:rsid w:val="00900381"/>
    <w:rsid w:val="00900985"/>
    <w:rsid w:val="00900E68"/>
    <w:rsid w:val="009010BE"/>
    <w:rsid w:val="009010E1"/>
    <w:rsid w:val="00901305"/>
    <w:rsid w:val="00901CD5"/>
    <w:rsid w:val="00902117"/>
    <w:rsid w:val="00902552"/>
    <w:rsid w:val="0090257C"/>
    <w:rsid w:val="00902FF2"/>
    <w:rsid w:val="00903263"/>
    <w:rsid w:val="00903580"/>
    <w:rsid w:val="00903CFD"/>
    <w:rsid w:val="0090400A"/>
    <w:rsid w:val="00904139"/>
    <w:rsid w:val="00904449"/>
    <w:rsid w:val="009044A5"/>
    <w:rsid w:val="009044EA"/>
    <w:rsid w:val="00904991"/>
    <w:rsid w:val="009049D6"/>
    <w:rsid w:val="009052FF"/>
    <w:rsid w:val="00905477"/>
    <w:rsid w:val="0090547D"/>
    <w:rsid w:val="009057C0"/>
    <w:rsid w:val="00905CF4"/>
    <w:rsid w:val="00905E24"/>
    <w:rsid w:val="00906307"/>
    <w:rsid w:val="0090636B"/>
    <w:rsid w:val="00907211"/>
    <w:rsid w:val="00907A44"/>
    <w:rsid w:val="00910206"/>
    <w:rsid w:val="00910329"/>
    <w:rsid w:val="00910AED"/>
    <w:rsid w:val="00910D54"/>
    <w:rsid w:val="00910EEE"/>
    <w:rsid w:val="00910F7D"/>
    <w:rsid w:val="00911065"/>
    <w:rsid w:val="0091124B"/>
    <w:rsid w:val="009118A3"/>
    <w:rsid w:val="00911B08"/>
    <w:rsid w:val="00911BBF"/>
    <w:rsid w:val="00912112"/>
    <w:rsid w:val="009125C0"/>
    <w:rsid w:val="00912AE5"/>
    <w:rsid w:val="009130E9"/>
    <w:rsid w:val="00913827"/>
    <w:rsid w:val="0091387B"/>
    <w:rsid w:val="009138D4"/>
    <w:rsid w:val="00913ED0"/>
    <w:rsid w:val="00913F11"/>
    <w:rsid w:val="00913F77"/>
    <w:rsid w:val="00914091"/>
    <w:rsid w:val="00914133"/>
    <w:rsid w:val="00914538"/>
    <w:rsid w:val="00914769"/>
    <w:rsid w:val="00914872"/>
    <w:rsid w:val="00914B9C"/>
    <w:rsid w:val="00914CA6"/>
    <w:rsid w:val="00914D3F"/>
    <w:rsid w:val="00915394"/>
    <w:rsid w:val="00915AD6"/>
    <w:rsid w:val="00915C17"/>
    <w:rsid w:val="00915E66"/>
    <w:rsid w:val="00915F09"/>
    <w:rsid w:val="00916160"/>
    <w:rsid w:val="0091622D"/>
    <w:rsid w:val="00916AE2"/>
    <w:rsid w:val="00916DD3"/>
    <w:rsid w:val="00916FF2"/>
    <w:rsid w:val="009170FE"/>
    <w:rsid w:val="00917464"/>
    <w:rsid w:val="00917504"/>
    <w:rsid w:val="009179F8"/>
    <w:rsid w:val="00917A67"/>
    <w:rsid w:val="00917B8B"/>
    <w:rsid w:val="00917E4C"/>
    <w:rsid w:val="00917F27"/>
    <w:rsid w:val="00917F5F"/>
    <w:rsid w:val="00920295"/>
    <w:rsid w:val="00920492"/>
    <w:rsid w:val="009204D5"/>
    <w:rsid w:val="009206FC"/>
    <w:rsid w:val="00920C2A"/>
    <w:rsid w:val="00920C53"/>
    <w:rsid w:val="00920EF7"/>
    <w:rsid w:val="009211B3"/>
    <w:rsid w:val="00921391"/>
    <w:rsid w:val="009216BA"/>
    <w:rsid w:val="00921793"/>
    <w:rsid w:val="00921A20"/>
    <w:rsid w:val="00921C6F"/>
    <w:rsid w:val="00922155"/>
    <w:rsid w:val="00922327"/>
    <w:rsid w:val="009227E2"/>
    <w:rsid w:val="0092293E"/>
    <w:rsid w:val="00922980"/>
    <w:rsid w:val="00922A9A"/>
    <w:rsid w:val="0092327F"/>
    <w:rsid w:val="009232AC"/>
    <w:rsid w:val="009236AD"/>
    <w:rsid w:val="009236D2"/>
    <w:rsid w:val="00923979"/>
    <w:rsid w:val="00923C45"/>
    <w:rsid w:val="00923D63"/>
    <w:rsid w:val="00923E89"/>
    <w:rsid w:val="00923EAA"/>
    <w:rsid w:val="00924151"/>
    <w:rsid w:val="00924206"/>
    <w:rsid w:val="00924228"/>
    <w:rsid w:val="00924248"/>
    <w:rsid w:val="009244B3"/>
    <w:rsid w:val="009248D2"/>
    <w:rsid w:val="0092493B"/>
    <w:rsid w:val="00924CE5"/>
    <w:rsid w:val="009250C4"/>
    <w:rsid w:val="00925781"/>
    <w:rsid w:val="0092579D"/>
    <w:rsid w:val="00925F46"/>
    <w:rsid w:val="009261EC"/>
    <w:rsid w:val="009265F4"/>
    <w:rsid w:val="009268CA"/>
    <w:rsid w:val="009268EB"/>
    <w:rsid w:val="00926C6D"/>
    <w:rsid w:val="00926E29"/>
    <w:rsid w:val="00927B41"/>
    <w:rsid w:val="00927D7E"/>
    <w:rsid w:val="00930262"/>
    <w:rsid w:val="00930280"/>
    <w:rsid w:val="009307AE"/>
    <w:rsid w:val="0093094F"/>
    <w:rsid w:val="00930B4C"/>
    <w:rsid w:val="00930C15"/>
    <w:rsid w:val="00930E37"/>
    <w:rsid w:val="00930F63"/>
    <w:rsid w:val="00931002"/>
    <w:rsid w:val="00931018"/>
    <w:rsid w:val="00931341"/>
    <w:rsid w:val="00931441"/>
    <w:rsid w:val="009318CC"/>
    <w:rsid w:val="00931D0F"/>
    <w:rsid w:val="0093231D"/>
    <w:rsid w:val="0093243E"/>
    <w:rsid w:val="00932501"/>
    <w:rsid w:val="009328A3"/>
    <w:rsid w:val="00933010"/>
    <w:rsid w:val="00933118"/>
    <w:rsid w:val="009331B6"/>
    <w:rsid w:val="00933243"/>
    <w:rsid w:val="00933932"/>
    <w:rsid w:val="00933949"/>
    <w:rsid w:val="00933C59"/>
    <w:rsid w:val="00933D46"/>
    <w:rsid w:val="009340F8"/>
    <w:rsid w:val="00934294"/>
    <w:rsid w:val="0093429D"/>
    <w:rsid w:val="00934579"/>
    <w:rsid w:val="0093463F"/>
    <w:rsid w:val="00934A16"/>
    <w:rsid w:val="00934A39"/>
    <w:rsid w:val="00934AA6"/>
    <w:rsid w:val="00935397"/>
    <w:rsid w:val="00935696"/>
    <w:rsid w:val="00935A1A"/>
    <w:rsid w:val="00935C03"/>
    <w:rsid w:val="00935D35"/>
    <w:rsid w:val="00935D61"/>
    <w:rsid w:val="00935DF7"/>
    <w:rsid w:val="009361F8"/>
    <w:rsid w:val="009365C5"/>
    <w:rsid w:val="0093674C"/>
    <w:rsid w:val="00936861"/>
    <w:rsid w:val="00936B4A"/>
    <w:rsid w:val="00936C6A"/>
    <w:rsid w:val="00936E48"/>
    <w:rsid w:val="009370A4"/>
    <w:rsid w:val="0093720C"/>
    <w:rsid w:val="00937578"/>
    <w:rsid w:val="00937994"/>
    <w:rsid w:val="00937EA3"/>
    <w:rsid w:val="009406A7"/>
    <w:rsid w:val="0094078D"/>
    <w:rsid w:val="00940FBD"/>
    <w:rsid w:val="00941179"/>
    <w:rsid w:val="009411D1"/>
    <w:rsid w:val="009414C7"/>
    <w:rsid w:val="009414D8"/>
    <w:rsid w:val="00941743"/>
    <w:rsid w:val="0094181A"/>
    <w:rsid w:val="009419CB"/>
    <w:rsid w:val="00941CD7"/>
    <w:rsid w:val="00941EE1"/>
    <w:rsid w:val="0094283D"/>
    <w:rsid w:val="00942C35"/>
    <w:rsid w:val="00942E4A"/>
    <w:rsid w:val="009430E8"/>
    <w:rsid w:val="00943179"/>
    <w:rsid w:val="00943409"/>
    <w:rsid w:val="009437BC"/>
    <w:rsid w:val="00943A1E"/>
    <w:rsid w:val="00943BA9"/>
    <w:rsid w:val="00943BC1"/>
    <w:rsid w:val="00943BD3"/>
    <w:rsid w:val="00943C61"/>
    <w:rsid w:val="00943F89"/>
    <w:rsid w:val="00944075"/>
    <w:rsid w:val="0094414A"/>
    <w:rsid w:val="0094420F"/>
    <w:rsid w:val="00944B4E"/>
    <w:rsid w:val="00944CE3"/>
    <w:rsid w:val="00944E08"/>
    <w:rsid w:val="0094589D"/>
    <w:rsid w:val="00945C19"/>
    <w:rsid w:val="00945F8D"/>
    <w:rsid w:val="009463C3"/>
    <w:rsid w:val="009466D8"/>
    <w:rsid w:val="00946889"/>
    <w:rsid w:val="00946941"/>
    <w:rsid w:val="00946BAC"/>
    <w:rsid w:val="00946C2D"/>
    <w:rsid w:val="00946D4E"/>
    <w:rsid w:val="00946ED8"/>
    <w:rsid w:val="009470D2"/>
    <w:rsid w:val="0094771B"/>
    <w:rsid w:val="009477CC"/>
    <w:rsid w:val="00947BF6"/>
    <w:rsid w:val="00950571"/>
    <w:rsid w:val="00950D8E"/>
    <w:rsid w:val="0095110A"/>
    <w:rsid w:val="00951493"/>
    <w:rsid w:val="00951636"/>
    <w:rsid w:val="009519DE"/>
    <w:rsid w:val="00951B52"/>
    <w:rsid w:val="00952AFE"/>
    <w:rsid w:val="00952C0F"/>
    <w:rsid w:val="0095307B"/>
    <w:rsid w:val="009530C9"/>
    <w:rsid w:val="00953592"/>
    <w:rsid w:val="009536B1"/>
    <w:rsid w:val="0095382E"/>
    <w:rsid w:val="0095390F"/>
    <w:rsid w:val="00953B5F"/>
    <w:rsid w:val="00953C09"/>
    <w:rsid w:val="00953D8D"/>
    <w:rsid w:val="009541E2"/>
    <w:rsid w:val="0095443B"/>
    <w:rsid w:val="0095499A"/>
    <w:rsid w:val="00954AD4"/>
    <w:rsid w:val="009556D5"/>
    <w:rsid w:val="00955793"/>
    <w:rsid w:val="009559C9"/>
    <w:rsid w:val="009561A3"/>
    <w:rsid w:val="0095647F"/>
    <w:rsid w:val="0095663C"/>
    <w:rsid w:val="0095668E"/>
    <w:rsid w:val="00956709"/>
    <w:rsid w:val="00956923"/>
    <w:rsid w:val="00956B75"/>
    <w:rsid w:val="00956D66"/>
    <w:rsid w:val="00957599"/>
    <w:rsid w:val="00957E91"/>
    <w:rsid w:val="00957FA7"/>
    <w:rsid w:val="0096007A"/>
    <w:rsid w:val="00960159"/>
    <w:rsid w:val="009604A1"/>
    <w:rsid w:val="00960815"/>
    <w:rsid w:val="00960936"/>
    <w:rsid w:val="009609F9"/>
    <w:rsid w:val="00960AA6"/>
    <w:rsid w:val="00960B4E"/>
    <w:rsid w:val="00960C15"/>
    <w:rsid w:val="00960DC4"/>
    <w:rsid w:val="009611F6"/>
    <w:rsid w:val="0096123D"/>
    <w:rsid w:val="009612E1"/>
    <w:rsid w:val="00961B71"/>
    <w:rsid w:val="00961BA5"/>
    <w:rsid w:val="00961BB4"/>
    <w:rsid w:val="00961D15"/>
    <w:rsid w:val="00961FC0"/>
    <w:rsid w:val="00962034"/>
    <w:rsid w:val="00962A1B"/>
    <w:rsid w:val="00962A41"/>
    <w:rsid w:val="00962D42"/>
    <w:rsid w:val="0096308E"/>
    <w:rsid w:val="009631DD"/>
    <w:rsid w:val="009632D8"/>
    <w:rsid w:val="0096367D"/>
    <w:rsid w:val="009637B7"/>
    <w:rsid w:val="00963B9F"/>
    <w:rsid w:val="0096403C"/>
    <w:rsid w:val="009640B0"/>
    <w:rsid w:val="009642A0"/>
    <w:rsid w:val="009644CE"/>
    <w:rsid w:val="009646EF"/>
    <w:rsid w:val="009648A0"/>
    <w:rsid w:val="009649E6"/>
    <w:rsid w:val="00964AEE"/>
    <w:rsid w:val="00964F7E"/>
    <w:rsid w:val="00965669"/>
    <w:rsid w:val="009659EE"/>
    <w:rsid w:val="00965E0A"/>
    <w:rsid w:val="00965E9F"/>
    <w:rsid w:val="00966080"/>
    <w:rsid w:val="00966131"/>
    <w:rsid w:val="00966648"/>
    <w:rsid w:val="009666BE"/>
    <w:rsid w:val="00966E5C"/>
    <w:rsid w:val="00967026"/>
    <w:rsid w:val="0096718E"/>
    <w:rsid w:val="00967731"/>
    <w:rsid w:val="00967851"/>
    <w:rsid w:val="00967922"/>
    <w:rsid w:val="00967B7D"/>
    <w:rsid w:val="00967D48"/>
    <w:rsid w:val="00970140"/>
    <w:rsid w:val="009701E0"/>
    <w:rsid w:val="009704E8"/>
    <w:rsid w:val="009707D2"/>
    <w:rsid w:val="00970B22"/>
    <w:rsid w:val="00970B6B"/>
    <w:rsid w:val="00970ED3"/>
    <w:rsid w:val="00970EFD"/>
    <w:rsid w:val="0097145D"/>
    <w:rsid w:val="00971AB9"/>
    <w:rsid w:val="00971B28"/>
    <w:rsid w:val="00971BC0"/>
    <w:rsid w:val="00971F1B"/>
    <w:rsid w:val="0097224F"/>
    <w:rsid w:val="00972265"/>
    <w:rsid w:val="009723B8"/>
    <w:rsid w:val="009725B1"/>
    <w:rsid w:val="009728C7"/>
    <w:rsid w:val="00972AB1"/>
    <w:rsid w:val="00972F60"/>
    <w:rsid w:val="00972FD4"/>
    <w:rsid w:val="00972FEF"/>
    <w:rsid w:val="00973025"/>
    <w:rsid w:val="00973298"/>
    <w:rsid w:val="0097381C"/>
    <w:rsid w:val="00973844"/>
    <w:rsid w:val="00973F02"/>
    <w:rsid w:val="0097451D"/>
    <w:rsid w:val="00974774"/>
    <w:rsid w:val="00974802"/>
    <w:rsid w:val="00974815"/>
    <w:rsid w:val="00974974"/>
    <w:rsid w:val="00974B25"/>
    <w:rsid w:val="00974BFE"/>
    <w:rsid w:val="009752D7"/>
    <w:rsid w:val="0097532B"/>
    <w:rsid w:val="009754A5"/>
    <w:rsid w:val="009764EE"/>
    <w:rsid w:val="009766F4"/>
    <w:rsid w:val="00976CDC"/>
    <w:rsid w:val="00976EB8"/>
    <w:rsid w:val="0097722C"/>
    <w:rsid w:val="00977554"/>
    <w:rsid w:val="00980283"/>
    <w:rsid w:val="009803A5"/>
    <w:rsid w:val="00980466"/>
    <w:rsid w:val="00980BB3"/>
    <w:rsid w:val="00980C20"/>
    <w:rsid w:val="00981214"/>
    <w:rsid w:val="0098144A"/>
    <w:rsid w:val="009819C4"/>
    <w:rsid w:val="00981B16"/>
    <w:rsid w:val="009820C7"/>
    <w:rsid w:val="0098229E"/>
    <w:rsid w:val="0098269F"/>
    <w:rsid w:val="009826A7"/>
    <w:rsid w:val="009827D8"/>
    <w:rsid w:val="00982913"/>
    <w:rsid w:val="00982B64"/>
    <w:rsid w:val="00982DC5"/>
    <w:rsid w:val="0098324E"/>
    <w:rsid w:val="00983270"/>
    <w:rsid w:val="00983607"/>
    <w:rsid w:val="009837F5"/>
    <w:rsid w:val="0098381E"/>
    <w:rsid w:val="00983C31"/>
    <w:rsid w:val="00984309"/>
    <w:rsid w:val="009843D1"/>
    <w:rsid w:val="009846D7"/>
    <w:rsid w:val="00984772"/>
    <w:rsid w:val="0098494D"/>
    <w:rsid w:val="00984BF3"/>
    <w:rsid w:val="00984FBE"/>
    <w:rsid w:val="00985000"/>
    <w:rsid w:val="009851EA"/>
    <w:rsid w:val="00985707"/>
    <w:rsid w:val="009857B4"/>
    <w:rsid w:val="00985AF1"/>
    <w:rsid w:val="00985F57"/>
    <w:rsid w:val="00986036"/>
    <w:rsid w:val="00986474"/>
    <w:rsid w:val="0098669E"/>
    <w:rsid w:val="00986B72"/>
    <w:rsid w:val="009872C4"/>
    <w:rsid w:val="009873CB"/>
    <w:rsid w:val="0098747C"/>
    <w:rsid w:val="009875E0"/>
    <w:rsid w:val="00987643"/>
    <w:rsid w:val="00987891"/>
    <w:rsid w:val="00987E78"/>
    <w:rsid w:val="00987F54"/>
    <w:rsid w:val="00990057"/>
    <w:rsid w:val="00990182"/>
    <w:rsid w:val="00990323"/>
    <w:rsid w:val="00990433"/>
    <w:rsid w:val="0099055B"/>
    <w:rsid w:val="009907FA"/>
    <w:rsid w:val="009908ED"/>
    <w:rsid w:val="00990936"/>
    <w:rsid w:val="00990C2A"/>
    <w:rsid w:val="00990C52"/>
    <w:rsid w:val="00990DA8"/>
    <w:rsid w:val="009911B2"/>
    <w:rsid w:val="0099130D"/>
    <w:rsid w:val="00991325"/>
    <w:rsid w:val="0099136D"/>
    <w:rsid w:val="0099162A"/>
    <w:rsid w:val="00991C27"/>
    <w:rsid w:val="00991DF0"/>
    <w:rsid w:val="00991E5B"/>
    <w:rsid w:val="00991ED0"/>
    <w:rsid w:val="00991F34"/>
    <w:rsid w:val="00991F64"/>
    <w:rsid w:val="00992495"/>
    <w:rsid w:val="009926D3"/>
    <w:rsid w:val="00992C72"/>
    <w:rsid w:val="00992DF5"/>
    <w:rsid w:val="0099300B"/>
    <w:rsid w:val="00993295"/>
    <w:rsid w:val="009932BC"/>
    <w:rsid w:val="00993506"/>
    <w:rsid w:val="009935F6"/>
    <w:rsid w:val="009937D7"/>
    <w:rsid w:val="0099392E"/>
    <w:rsid w:val="00993AB2"/>
    <w:rsid w:val="00993B09"/>
    <w:rsid w:val="009943D9"/>
    <w:rsid w:val="00994451"/>
    <w:rsid w:val="00994875"/>
    <w:rsid w:val="00994A50"/>
    <w:rsid w:val="00994AF8"/>
    <w:rsid w:val="00994AF9"/>
    <w:rsid w:val="00994B00"/>
    <w:rsid w:val="00994EC1"/>
    <w:rsid w:val="00994F75"/>
    <w:rsid w:val="00994FA1"/>
    <w:rsid w:val="00995ACF"/>
    <w:rsid w:val="00995B09"/>
    <w:rsid w:val="00995B74"/>
    <w:rsid w:val="0099611A"/>
    <w:rsid w:val="00996254"/>
    <w:rsid w:val="0099637B"/>
    <w:rsid w:val="00996467"/>
    <w:rsid w:val="009965D9"/>
    <w:rsid w:val="0099677F"/>
    <w:rsid w:val="00996BD4"/>
    <w:rsid w:val="00996DC2"/>
    <w:rsid w:val="00996EEC"/>
    <w:rsid w:val="00996F1E"/>
    <w:rsid w:val="00997000"/>
    <w:rsid w:val="00997020"/>
    <w:rsid w:val="00997454"/>
    <w:rsid w:val="0099745B"/>
    <w:rsid w:val="0099755D"/>
    <w:rsid w:val="00997592"/>
    <w:rsid w:val="0099782E"/>
    <w:rsid w:val="0099789E"/>
    <w:rsid w:val="00997B10"/>
    <w:rsid w:val="00997F1F"/>
    <w:rsid w:val="009A020A"/>
    <w:rsid w:val="009A0441"/>
    <w:rsid w:val="009A0599"/>
    <w:rsid w:val="009A0D72"/>
    <w:rsid w:val="009A0E19"/>
    <w:rsid w:val="009A1132"/>
    <w:rsid w:val="009A12DB"/>
    <w:rsid w:val="009A149C"/>
    <w:rsid w:val="009A1A55"/>
    <w:rsid w:val="009A227B"/>
    <w:rsid w:val="009A287A"/>
    <w:rsid w:val="009A29AD"/>
    <w:rsid w:val="009A2B18"/>
    <w:rsid w:val="009A2B64"/>
    <w:rsid w:val="009A32A3"/>
    <w:rsid w:val="009A3CD3"/>
    <w:rsid w:val="009A3D9C"/>
    <w:rsid w:val="009A3E5C"/>
    <w:rsid w:val="009A3EF2"/>
    <w:rsid w:val="009A4487"/>
    <w:rsid w:val="009A454A"/>
    <w:rsid w:val="009A47D2"/>
    <w:rsid w:val="009A4991"/>
    <w:rsid w:val="009A49D8"/>
    <w:rsid w:val="009A4A07"/>
    <w:rsid w:val="009A4D54"/>
    <w:rsid w:val="009A506A"/>
    <w:rsid w:val="009A509A"/>
    <w:rsid w:val="009A55BD"/>
    <w:rsid w:val="009A567D"/>
    <w:rsid w:val="009A5709"/>
    <w:rsid w:val="009A570C"/>
    <w:rsid w:val="009A5A07"/>
    <w:rsid w:val="009A5D3B"/>
    <w:rsid w:val="009A5D5F"/>
    <w:rsid w:val="009A6928"/>
    <w:rsid w:val="009A6A31"/>
    <w:rsid w:val="009A6A72"/>
    <w:rsid w:val="009A6E63"/>
    <w:rsid w:val="009A6E9D"/>
    <w:rsid w:val="009A6F8D"/>
    <w:rsid w:val="009A750D"/>
    <w:rsid w:val="009A75BC"/>
    <w:rsid w:val="009A7858"/>
    <w:rsid w:val="009B005D"/>
    <w:rsid w:val="009B0ACE"/>
    <w:rsid w:val="009B0CAB"/>
    <w:rsid w:val="009B0CF9"/>
    <w:rsid w:val="009B0E14"/>
    <w:rsid w:val="009B120B"/>
    <w:rsid w:val="009B14F4"/>
    <w:rsid w:val="009B1609"/>
    <w:rsid w:val="009B195D"/>
    <w:rsid w:val="009B1CAA"/>
    <w:rsid w:val="009B20C7"/>
    <w:rsid w:val="009B2AD7"/>
    <w:rsid w:val="009B2BDF"/>
    <w:rsid w:val="009B2C29"/>
    <w:rsid w:val="009B2C3A"/>
    <w:rsid w:val="009B2D91"/>
    <w:rsid w:val="009B2F67"/>
    <w:rsid w:val="009B3057"/>
    <w:rsid w:val="009B36DD"/>
    <w:rsid w:val="009B3CE5"/>
    <w:rsid w:val="009B44B2"/>
    <w:rsid w:val="009B483B"/>
    <w:rsid w:val="009B48CA"/>
    <w:rsid w:val="009B4F36"/>
    <w:rsid w:val="009B5373"/>
    <w:rsid w:val="009B5476"/>
    <w:rsid w:val="009B548E"/>
    <w:rsid w:val="009B549A"/>
    <w:rsid w:val="009B56A1"/>
    <w:rsid w:val="009B5756"/>
    <w:rsid w:val="009B586B"/>
    <w:rsid w:val="009B5A3B"/>
    <w:rsid w:val="009B5C2E"/>
    <w:rsid w:val="009B5DD7"/>
    <w:rsid w:val="009B5ED2"/>
    <w:rsid w:val="009B5FEB"/>
    <w:rsid w:val="009B6105"/>
    <w:rsid w:val="009B629C"/>
    <w:rsid w:val="009B6406"/>
    <w:rsid w:val="009B666D"/>
    <w:rsid w:val="009B6671"/>
    <w:rsid w:val="009B677C"/>
    <w:rsid w:val="009B6791"/>
    <w:rsid w:val="009B6BB8"/>
    <w:rsid w:val="009B6C53"/>
    <w:rsid w:val="009B6DAC"/>
    <w:rsid w:val="009B6DF4"/>
    <w:rsid w:val="009B6FCC"/>
    <w:rsid w:val="009B71E2"/>
    <w:rsid w:val="009B726E"/>
    <w:rsid w:val="009B7352"/>
    <w:rsid w:val="009B7594"/>
    <w:rsid w:val="009B763C"/>
    <w:rsid w:val="009B79CB"/>
    <w:rsid w:val="009B7ACB"/>
    <w:rsid w:val="009B7B6D"/>
    <w:rsid w:val="009B7B90"/>
    <w:rsid w:val="009B7DBB"/>
    <w:rsid w:val="009B7FA4"/>
    <w:rsid w:val="009C0193"/>
    <w:rsid w:val="009C02B5"/>
    <w:rsid w:val="009C05B1"/>
    <w:rsid w:val="009C0683"/>
    <w:rsid w:val="009C06C1"/>
    <w:rsid w:val="009C0A86"/>
    <w:rsid w:val="009C0AD4"/>
    <w:rsid w:val="009C0CAA"/>
    <w:rsid w:val="009C0F1C"/>
    <w:rsid w:val="009C1347"/>
    <w:rsid w:val="009C13F0"/>
    <w:rsid w:val="009C14C2"/>
    <w:rsid w:val="009C1862"/>
    <w:rsid w:val="009C1BC2"/>
    <w:rsid w:val="009C1F56"/>
    <w:rsid w:val="009C209F"/>
    <w:rsid w:val="009C269E"/>
    <w:rsid w:val="009C2918"/>
    <w:rsid w:val="009C2A5B"/>
    <w:rsid w:val="009C2C7C"/>
    <w:rsid w:val="009C2F07"/>
    <w:rsid w:val="009C2F7C"/>
    <w:rsid w:val="009C3086"/>
    <w:rsid w:val="009C340C"/>
    <w:rsid w:val="009C35B4"/>
    <w:rsid w:val="009C37E2"/>
    <w:rsid w:val="009C3871"/>
    <w:rsid w:val="009C3EE0"/>
    <w:rsid w:val="009C4125"/>
    <w:rsid w:val="009C4752"/>
    <w:rsid w:val="009C4B2A"/>
    <w:rsid w:val="009C4EAA"/>
    <w:rsid w:val="009C51BB"/>
    <w:rsid w:val="009C58E8"/>
    <w:rsid w:val="009C59FF"/>
    <w:rsid w:val="009C5A37"/>
    <w:rsid w:val="009C5A5C"/>
    <w:rsid w:val="009C6199"/>
    <w:rsid w:val="009C6287"/>
    <w:rsid w:val="009C6505"/>
    <w:rsid w:val="009C6541"/>
    <w:rsid w:val="009C6910"/>
    <w:rsid w:val="009C6CCA"/>
    <w:rsid w:val="009C71DD"/>
    <w:rsid w:val="009C722A"/>
    <w:rsid w:val="009C7838"/>
    <w:rsid w:val="009D0557"/>
    <w:rsid w:val="009D05CF"/>
    <w:rsid w:val="009D0B0D"/>
    <w:rsid w:val="009D0F15"/>
    <w:rsid w:val="009D0F94"/>
    <w:rsid w:val="009D1007"/>
    <w:rsid w:val="009D1240"/>
    <w:rsid w:val="009D1477"/>
    <w:rsid w:val="009D1666"/>
    <w:rsid w:val="009D16E4"/>
    <w:rsid w:val="009D194E"/>
    <w:rsid w:val="009D1D1F"/>
    <w:rsid w:val="009D1F79"/>
    <w:rsid w:val="009D223E"/>
    <w:rsid w:val="009D2A5D"/>
    <w:rsid w:val="009D2A69"/>
    <w:rsid w:val="009D2D7D"/>
    <w:rsid w:val="009D307B"/>
    <w:rsid w:val="009D32D5"/>
    <w:rsid w:val="009D3373"/>
    <w:rsid w:val="009D35AF"/>
    <w:rsid w:val="009D3E7C"/>
    <w:rsid w:val="009D423A"/>
    <w:rsid w:val="009D4925"/>
    <w:rsid w:val="009D4A9D"/>
    <w:rsid w:val="009D4ABC"/>
    <w:rsid w:val="009D4DE3"/>
    <w:rsid w:val="009D5052"/>
    <w:rsid w:val="009D50FD"/>
    <w:rsid w:val="009D5271"/>
    <w:rsid w:val="009D5815"/>
    <w:rsid w:val="009D5A8D"/>
    <w:rsid w:val="009D5AE3"/>
    <w:rsid w:val="009D5E45"/>
    <w:rsid w:val="009D5E56"/>
    <w:rsid w:val="009D5E63"/>
    <w:rsid w:val="009D5EE2"/>
    <w:rsid w:val="009D608A"/>
    <w:rsid w:val="009D629B"/>
    <w:rsid w:val="009D6307"/>
    <w:rsid w:val="009D6352"/>
    <w:rsid w:val="009D678B"/>
    <w:rsid w:val="009D6A55"/>
    <w:rsid w:val="009D6DC0"/>
    <w:rsid w:val="009D7580"/>
    <w:rsid w:val="009D7B09"/>
    <w:rsid w:val="009D7E70"/>
    <w:rsid w:val="009E0740"/>
    <w:rsid w:val="009E095D"/>
    <w:rsid w:val="009E0BCA"/>
    <w:rsid w:val="009E0C90"/>
    <w:rsid w:val="009E0D6D"/>
    <w:rsid w:val="009E1042"/>
    <w:rsid w:val="009E14AD"/>
    <w:rsid w:val="009E174F"/>
    <w:rsid w:val="009E1913"/>
    <w:rsid w:val="009E2D2E"/>
    <w:rsid w:val="009E2EE7"/>
    <w:rsid w:val="009E3199"/>
    <w:rsid w:val="009E3BEF"/>
    <w:rsid w:val="009E3DDA"/>
    <w:rsid w:val="009E3EBB"/>
    <w:rsid w:val="009E3FDE"/>
    <w:rsid w:val="009E43B6"/>
    <w:rsid w:val="009E48B6"/>
    <w:rsid w:val="009E494F"/>
    <w:rsid w:val="009E4958"/>
    <w:rsid w:val="009E4A35"/>
    <w:rsid w:val="009E4AB8"/>
    <w:rsid w:val="009E4B4D"/>
    <w:rsid w:val="009E4BF9"/>
    <w:rsid w:val="009E4C54"/>
    <w:rsid w:val="009E4C9B"/>
    <w:rsid w:val="009E5088"/>
    <w:rsid w:val="009E528C"/>
    <w:rsid w:val="009E541C"/>
    <w:rsid w:val="009E54EE"/>
    <w:rsid w:val="009E59B3"/>
    <w:rsid w:val="009E5C6F"/>
    <w:rsid w:val="009E5FE0"/>
    <w:rsid w:val="009E622C"/>
    <w:rsid w:val="009E6248"/>
    <w:rsid w:val="009E63A5"/>
    <w:rsid w:val="009E65DA"/>
    <w:rsid w:val="009E66DB"/>
    <w:rsid w:val="009E6802"/>
    <w:rsid w:val="009E6936"/>
    <w:rsid w:val="009E6E2F"/>
    <w:rsid w:val="009E6F86"/>
    <w:rsid w:val="009E72FC"/>
    <w:rsid w:val="009E7D55"/>
    <w:rsid w:val="009E7E14"/>
    <w:rsid w:val="009E7F84"/>
    <w:rsid w:val="009F00B4"/>
    <w:rsid w:val="009F01DD"/>
    <w:rsid w:val="009F02B6"/>
    <w:rsid w:val="009F0414"/>
    <w:rsid w:val="009F08EF"/>
    <w:rsid w:val="009F0CE2"/>
    <w:rsid w:val="009F0EA4"/>
    <w:rsid w:val="009F1507"/>
    <w:rsid w:val="009F17E4"/>
    <w:rsid w:val="009F19F5"/>
    <w:rsid w:val="009F1AAB"/>
    <w:rsid w:val="009F1B34"/>
    <w:rsid w:val="009F1C3E"/>
    <w:rsid w:val="009F1E28"/>
    <w:rsid w:val="009F1EE9"/>
    <w:rsid w:val="009F2388"/>
    <w:rsid w:val="009F2408"/>
    <w:rsid w:val="009F25E2"/>
    <w:rsid w:val="009F261B"/>
    <w:rsid w:val="009F2663"/>
    <w:rsid w:val="009F2F82"/>
    <w:rsid w:val="009F308D"/>
    <w:rsid w:val="009F316E"/>
    <w:rsid w:val="009F37CC"/>
    <w:rsid w:val="009F38FF"/>
    <w:rsid w:val="009F3A66"/>
    <w:rsid w:val="009F3E49"/>
    <w:rsid w:val="009F3FCB"/>
    <w:rsid w:val="009F4112"/>
    <w:rsid w:val="009F4231"/>
    <w:rsid w:val="009F432D"/>
    <w:rsid w:val="009F44D5"/>
    <w:rsid w:val="009F44F9"/>
    <w:rsid w:val="009F4597"/>
    <w:rsid w:val="009F4897"/>
    <w:rsid w:val="009F4A94"/>
    <w:rsid w:val="009F4F85"/>
    <w:rsid w:val="009F5251"/>
    <w:rsid w:val="009F52F5"/>
    <w:rsid w:val="009F52F7"/>
    <w:rsid w:val="009F5330"/>
    <w:rsid w:val="009F544E"/>
    <w:rsid w:val="009F5855"/>
    <w:rsid w:val="009F5902"/>
    <w:rsid w:val="009F5F2C"/>
    <w:rsid w:val="009F6266"/>
    <w:rsid w:val="009F62E4"/>
    <w:rsid w:val="009F6550"/>
    <w:rsid w:val="009F65AE"/>
    <w:rsid w:val="009F662D"/>
    <w:rsid w:val="009F6681"/>
    <w:rsid w:val="009F69F1"/>
    <w:rsid w:val="009F6A7C"/>
    <w:rsid w:val="009F7026"/>
    <w:rsid w:val="009F7209"/>
    <w:rsid w:val="009F721E"/>
    <w:rsid w:val="009F7702"/>
    <w:rsid w:val="009F7A41"/>
    <w:rsid w:val="009F7D10"/>
    <w:rsid w:val="009F7E5B"/>
    <w:rsid w:val="00A00067"/>
    <w:rsid w:val="00A00090"/>
    <w:rsid w:val="00A005DD"/>
    <w:rsid w:val="00A00A7B"/>
    <w:rsid w:val="00A00DFF"/>
    <w:rsid w:val="00A00E6C"/>
    <w:rsid w:val="00A00F64"/>
    <w:rsid w:val="00A00F85"/>
    <w:rsid w:val="00A01393"/>
    <w:rsid w:val="00A016C2"/>
    <w:rsid w:val="00A018F0"/>
    <w:rsid w:val="00A01A87"/>
    <w:rsid w:val="00A01B17"/>
    <w:rsid w:val="00A01D2C"/>
    <w:rsid w:val="00A01FE8"/>
    <w:rsid w:val="00A0206A"/>
    <w:rsid w:val="00A02428"/>
    <w:rsid w:val="00A0259D"/>
    <w:rsid w:val="00A029B1"/>
    <w:rsid w:val="00A02D16"/>
    <w:rsid w:val="00A02D3C"/>
    <w:rsid w:val="00A02D96"/>
    <w:rsid w:val="00A03060"/>
    <w:rsid w:val="00A03259"/>
    <w:rsid w:val="00A0363D"/>
    <w:rsid w:val="00A03830"/>
    <w:rsid w:val="00A03992"/>
    <w:rsid w:val="00A03CCC"/>
    <w:rsid w:val="00A03DFB"/>
    <w:rsid w:val="00A03E42"/>
    <w:rsid w:val="00A04451"/>
    <w:rsid w:val="00A0458F"/>
    <w:rsid w:val="00A045A3"/>
    <w:rsid w:val="00A0484F"/>
    <w:rsid w:val="00A048C1"/>
    <w:rsid w:val="00A049B4"/>
    <w:rsid w:val="00A04ACF"/>
    <w:rsid w:val="00A04C50"/>
    <w:rsid w:val="00A050E2"/>
    <w:rsid w:val="00A05103"/>
    <w:rsid w:val="00A0510E"/>
    <w:rsid w:val="00A05320"/>
    <w:rsid w:val="00A053CD"/>
    <w:rsid w:val="00A05414"/>
    <w:rsid w:val="00A058CD"/>
    <w:rsid w:val="00A05B0E"/>
    <w:rsid w:val="00A05BC5"/>
    <w:rsid w:val="00A05D96"/>
    <w:rsid w:val="00A05DA7"/>
    <w:rsid w:val="00A06029"/>
    <w:rsid w:val="00A064CE"/>
    <w:rsid w:val="00A065B2"/>
    <w:rsid w:val="00A069F8"/>
    <w:rsid w:val="00A06A82"/>
    <w:rsid w:val="00A06D54"/>
    <w:rsid w:val="00A06DFC"/>
    <w:rsid w:val="00A07842"/>
    <w:rsid w:val="00A07CAE"/>
    <w:rsid w:val="00A1007B"/>
    <w:rsid w:val="00A1076A"/>
    <w:rsid w:val="00A109FB"/>
    <w:rsid w:val="00A10A83"/>
    <w:rsid w:val="00A10B2C"/>
    <w:rsid w:val="00A10BEE"/>
    <w:rsid w:val="00A10D9D"/>
    <w:rsid w:val="00A10EE5"/>
    <w:rsid w:val="00A1142D"/>
    <w:rsid w:val="00A11572"/>
    <w:rsid w:val="00A11A13"/>
    <w:rsid w:val="00A1236B"/>
    <w:rsid w:val="00A1256E"/>
    <w:rsid w:val="00A125D6"/>
    <w:rsid w:val="00A12921"/>
    <w:rsid w:val="00A1293D"/>
    <w:rsid w:val="00A12B05"/>
    <w:rsid w:val="00A12C30"/>
    <w:rsid w:val="00A1342E"/>
    <w:rsid w:val="00A138A1"/>
    <w:rsid w:val="00A13ABD"/>
    <w:rsid w:val="00A13B6C"/>
    <w:rsid w:val="00A13BD8"/>
    <w:rsid w:val="00A13BF0"/>
    <w:rsid w:val="00A13D02"/>
    <w:rsid w:val="00A13E52"/>
    <w:rsid w:val="00A141AB"/>
    <w:rsid w:val="00A14245"/>
    <w:rsid w:val="00A1467B"/>
    <w:rsid w:val="00A14B9A"/>
    <w:rsid w:val="00A162FB"/>
    <w:rsid w:val="00A16380"/>
    <w:rsid w:val="00A164F8"/>
    <w:rsid w:val="00A16808"/>
    <w:rsid w:val="00A16B51"/>
    <w:rsid w:val="00A16B98"/>
    <w:rsid w:val="00A17195"/>
    <w:rsid w:val="00A1724C"/>
    <w:rsid w:val="00A1748D"/>
    <w:rsid w:val="00A174EE"/>
    <w:rsid w:val="00A178F8"/>
    <w:rsid w:val="00A17AB3"/>
    <w:rsid w:val="00A17DC2"/>
    <w:rsid w:val="00A2014D"/>
    <w:rsid w:val="00A20694"/>
    <w:rsid w:val="00A21254"/>
    <w:rsid w:val="00A215BF"/>
    <w:rsid w:val="00A21A4F"/>
    <w:rsid w:val="00A21BDF"/>
    <w:rsid w:val="00A21C32"/>
    <w:rsid w:val="00A21CC6"/>
    <w:rsid w:val="00A21F31"/>
    <w:rsid w:val="00A227D1"/>
    <w:rsid w:val="00A22BD5"/>
    <w:rsid w:val="00A22EAC"/>
    <w:rsid w:val="00A23043"/>
    <w:rsid w:val="00A2376B"/>
    <w:rsid w:val="00A23B41"/>
    <w:rsid w:val="00A2423F"/>
    <w:rsid w:val="00A242C9"/>
    <w:rsid w:val="00A248B8"/>
    <w:rsid w:val="00A24CC7"/>
    <w:rsid w:val="00A24E6D"/>
    <w:rsid w:val="00A25079"/>
    <w:rsid w:val="00A252FB"/>
    <w:rsid w:val="00A25ABC"/>
    <w:rsid w:val="00A25CEF"/>
    <w:rsid w:val="00A25D04"/>
    <w:rsid w:val="00A25EAB"/>
    <w:rsid w:val="00A25F8D"/>
    <w:rsid w:val="00A260A3"/>
    <w:rsid w:val="00A260E3"/>
    <w:rsid w:val="00A262D8"/>
    <w:rsid w:val="00A2687E"/>
    <w:rsid w:val="00A26A2F"/>
    <w:rsid w:val="00A26D98"/>
    <w:rsid w:val="00A26F65"/>
    <w:rsid w:val="00A270F7"/>
    <w:rsid w:val="00A27204"/>
    <w:rsid w:val="00A27424"/>
    <w:rsid w:val="00A274AE"/>
    <w:rsid w:val="00A275AC"/>
    <w:rsid w:val="00A275F4"/>
    <w:rsid w:val="00A27817"/>
    <w:rsid w:val="00A27E57"/>
    <w:rsid w:val="00A27F78"/>
    <w:rsid w:val="00A305F0"/>
    <w:rsid w:val="00A3075B"/>
    <w:rsid w:val="00A30796"/>
    <w:rsid w:val="00A3082D"/>
    <w:rsid w:val="00A3096B"/>
    <w:rsid w:val="00A30C47"/>
    <w:rsid w:val="00A30CFC"/>
    <w:rsid w:val="00A30FCD"/>
    <w:rsid w:val="00A31099"/>
    <w:rsid w:val="00A312ED"/>
    <w:rsid w:val="00A315D3"/>
    <w:rsid w:val="00A31869"/>
    <w:rsid w:val="00A31FF5"/>
    <w:rsid w:val="00A3203B"/>
    <w:rsid w:val="00A320D4"/>
    <w:rsid w:val="00A321D6"/>
    <w:rsid w:val="00A32401"/>
    <w:rsid w:val="00A3248A"/>
    <w:rsid w:val="00A32678"/>
    <w:rsid w:val="00A326B1"/>
    <w:rsid w:val="00A32875"/>
    <w:rsid w:val="00A32B1E"/>
    <w:rsid w:val="00A32C08"/>
    <w:rsid w:val="00A33079"/>
    <w:rsid w:val="00A330CE"/>
    <w:rsid w:val="00A336E5"/>
    <w:rsid w:val="00A338F6"/>
    <w:rsid w:val="00A33BE3"/>
    <w:rsid w:val="00A33CA4"/>
    <w:rsid w:val="00A33DD5"/>
    <w:rsid w:val="00A34231"/>
    <w:rsid w:val="00A34300"/>
    <w:rsid w:val="00A344D4"/>
    <w:rsid w:val="00A34804"/>
    <w:rsid w:val="00A35520"/>
    <w:rsid w:val="00A35625"/>
    <w:rsid w:val="00A3573F"/>
    <w:rsid w:val="00A35D3A"/>
    <w:rsid w:val="00A35D4D"/>
    <w:rsid w:val="00A364A8"/>
    <w:rsid w:val="00A36AD5"/>
    <w:rsid w:val="00A36EC7"/>
    <w:rsid w:val="00A36F9E"/>
    <w:rsid w:val="00A371F3"/>
    <w:rsid w:val="00A37230"/>
    <w:rsid w:val="00A373FA"/>
    <w:rsid w:val="00A37646"/>
    <w:rsid w:val="00A37CDE"/>
    <w:rsid w:val="00A37F7E"/>
    <w:rsid w:val="00A40268"/>
    <w:rsid w:val="00A405AF"/>
    <w:rsid w:val="00A40802"/>
    <w:rsid w:val="00A40829"/>
    <w:rsid w:val="00A40C7B"/>
    <w:rsid w:val="00A40D48"/>
    <w:rsid w:val="00A4131D"/>
    <w:rsid w:val="00A41552"/>
    <w:rsid w:val="00A4188A"/>
    <w:rsid w:val="00A418D8"/>
    <w:rsid w:val="00A41A9B"/>
    <w:rsid w:val="00A41AB5"/>
    <w:rsid w:val="00A41B9C"/>
    <w:rsid w:val="00A41C1B"/>
    <w:rsid w:val="00A42333"/>
    <w:rsid w:val="00A4271D"/>
    <w:rsid w:val="00A42872"/>
    <w:rsid w:val="00A42B10"/>
    <w:rsid w:val="00A42E3A"/>
    <w:rsid w:val="00A430AB"/>
    <w:rsid w:val="00A433EC"/>
    <w:rsid w:val="00A436D3"/>
    <w:rsid w:val="00A437EC"/>
    <w:rsid w:val="00A43828"/>
    <w:rsid w:val="00A439B8"/>
    <w:rsid w:val="00A43A62"/>
    <w:rsid w:val="00A44184"/>
    <w:rsid w:val="00A447D8"/>
    <w:rsid w:val="00A448FF"/>
    <w:rsid w:val="00A44AAA"/>
    <w:rsid w:val="00A44C54"/>
    <w:rsid w:val="00A44DE3"/>
    <w:rsid w:val="00A451C0"/>
    <w:rsid w:val="00A4523D"/>
    <w:rsid w:val="00A45573"/>
    <w:rsid w:val="00A45D0E"/>
    <w:rsid w:val="00A45ED0"/>
    <w:rsid w:val="00A466F3"/>
    <w:rsid w:val="00A4694F"/>
    <w:rsid w:val="00A47192"/>
    <w:rsid w:val="00A47254"/>
    <w:rsid w:val="00A47461"/>
    <w:rsid w:val="00A4776A"/>
    <w:rsid w:val="00A47937"/>
    <w:rsid w:val="00A47F04"/>
    <w:rsid w:val="00A50124"/>
    <w:rsid w:val="00A5047D"/>
    <w:rsid w:val="00A509B6"/>
    <w:rsid w:val="00A50A4E"/>
    <w:rsid w:val="00A50B90"/>
    <w:rsid w:val="00A510A7"/>
    <w:rsid w:val="00A511E1"/>
    <w:rsid w:val="00A51246"/>
    <w:rsid w:val="00A51306"/>
    <w:rsid w:val="00A51539"/>
    <w:rsid w:val="00A519F8"/>
    <w:rsid w:val="00A51EB7"/>
    <w:rsid w:val="00A52433"/>
    <w:rsid w:val="00A528F3"/>
    <w:rsid w:val="00A529D2"/>
    <w:rsid w:val="00A52B91"/>
    <w:rsid w:val="00A53006"/>
    <w:rsid w:val="00A5316D"/>
    <w:rsid w:val="00A5323F"/>
    <w:rsid w:val="00A53399"/>
    <w:rsid w:val="00A53ACB"/>
    <w:rsid w:val="00A53AFA"/>
    <w:rsid w:val="00A53BCD"/>
    <w:rsid w:val="00A53ED9"/>
    <w:rsid w:val="00A53EFC"/>
    <w:rsid w:val="00A53F09"/>
    <w:rsid w:val="00A5410B"/>
    <w:rsid w:val="00A542C8"/>
    <w:rsid w:val="00A54388"/>
    <w:rsid w:val="00A5474D"/>
    <w:rsid w:val="00A54C64"/>
    <w:rsid w:val="00A55261"/>
    <w:rsid w:val="00A5595A"/>
    <w:rsid w:val="00A55E8D"/>
    <w:rsid w:val="00A560EB"/>
    <w:rsid w:val="00A56392"/>
    <w:rsid w:val="00A564D3"/>
    <w:rsid w:val="00A565F0"/>
    <w:rsid w:val="00A56AE9"/>
    <w:rsid w:val="00A57009"/>
    <w:rsid w:val="00A573CC"/>
    <w:rsid w:val="00A575A5"/>
    <w:rsid w:val="00A57610"/>
    <w:rsid w:val="00A577B4"/>
    <w:rsid w:val="00A5781B"/>
    <w:rsid w:val="00A57E11"/>
    <w:rsid w:val="00A57E85"/>
    <w:rsid w:val="00A602B0"/>
    <w:rsid w:val="00A60444"/>
    <w:rsid w:val="00A607F0"/>
    <w:rsid w:val="00A60994"/>
    <w:rsid w:val="00A613C4"/>
    <w:rsid w:val="00A618F3"/>
    <w:rsid w:val="00A62284"/>
    <w:rsid w:val="00A6254E"/>
    <w:rsid w:val="00A62628"/>
    <w:rsid w:val="00A62654"/>
    <w:rsid w:val="00A6273E"/>
    <w:rsid w:val="00A627F4"/>
    <w:rsid w:val="00A62805"/>
    <w:rsid w:val="00A629F3"/>
    <w:rsid w:val="00A62BB0"/>
    <w:rsid w:val="00A62CAE"/>
    <w:rsid w:val="00A62FBA"/>
    <w:rsid w:val="00A632AE"/>
    <w:rsid w:val="00A63381"/>
    <w:rsid w:val="00A633EE"/>
    <w:rsid w:val="00A6395C"/>
    <w:rsid w:val="00A639ED"/>
    <w:rsid w:val="00A63DF5"/>
    <w:rsid w:val="00A64065"/>
    <w:rsid w:val="00A640B2"/>
    <w:rsid w:val="00A6412D"/>
    <w:rsid w:val="00A6427C"/>
    <w:rsid w:val="00A64507"/>
    <w:rsid w:val="00A64B2C"/>
    <w:rsid w:val="00A64E7F"/>
    <w:rsid w:val="00A654FA"/>
    <w:rsid w:val="00A65937"/>
    <w:rsid w:val="00A659D6"/>
    <w:rsid w:val="00A65A28"/>
    <w:rsid w:val="00A65DB4"/>
    <w:rsid w:val="00A65E0A"/>
    <w:rsid w:val="00A65E15"/>
    <w:rsid w:val="00A6620E"/>
    <w:rsid w:val="00A6679B"/>
    <w:rsid w:val="00A66BF3"/>
    <w:rsid w:val="00A676CD"/>
    <w:rsid w:val="00A67D7D"/>
    <w:rsid w:val="00A67E86"/>
    <w:rsid w:val="00A706C9"/>
    <w:rsid w:val="00A708AC"/>
    <w:rsid w:val="00A708E8"/>
    <w:rsid w:val="00A70AE3"/>
    <w:rsid w:val="00A71473"/>
    <w:rsid w:val="00A71618"/>
    <w:rsid w:val="00A71698"/>
    <w:rsid w:val="00A71B3F"/>
    <w:rsid w:val="00A71C4A"/>
    <w:rsid w:val="00A72516"/>
    <w:rsid w:val="00A72551"/>
    <w:rsid w:val="00A726F0"/>
    <w:rsid w:val="00A727D7"/>
    <w:rsid w:val="00A7292A"/>
    <w:rsid w:val="00A72B8C"/>
    <w:rsid w:val="00A72B96"/>
    <w:rsid w:val="00A72C11"/>
    <w:rsid w:val="00A72C92"/>
    <w:rsid w:val="00A72EDB"/>
    <w:rsid w:val="00A733FE"/>
    <w:rsid w:val="00A738B0"/>
    <w:rsid w:val="00A73A41"/>
    <w:rsid w:val="00A73C03"/>
    <w:rsid w:val="00A73E04"/>
    <w:rsid w:val="00A74071"/>
    <w:rsid w:val="00A743F5"/>
    <w:rsid w:val="00A74CE3"/>
    <w:rsid w:val="00A750F5"/>
    <w:rsid w:val="00A75268"/>
    <w:rsid w:val="00A75430"/>
    <w:rsid w:val="00A754E4"/>
    <w:rsid w:val="00A755B1"/>
    <w:rsid w:val="00A757D6"/>
    <w:rsid w:val="00A76692"/>
    <w:rsid w:val="00A766D4"/>
    <w:rsid w:val="00A7687F"/>
    <w:rsid w:val="00A76988"/>
    <w:rsid w:val="00A76BAC"/>
    <w:rsid w:val="00A77138"/>
    <w:rsid w:val="00A7722A"/>
    <w:rsid w:val="00A772DD"/>
    <w:rsid w:val="00A773D0"/>
    <w:rsid w:val="00A7759D"/>
    <w:rsid w:val="00A77908"/>
    <w:rsid w:val="00A77C78"/>
    <w:rsid w:val="00A77C86"/>
    <w:rsid w:val="00A77D0E"/>
    <w:rsid w:val="00A77E35"/>
    <w:rsid w:val="00A77FAD"/>
    <w:rsid w:val="00A80087"/>
    <w:rsid w:val="00A8019C"/>
    <w:rsid w:val="00A80222"/>
    <w:rsid w:val="00A80369"/>
    <w:rsid w:val="00A8039D"/>
    <w:rsid w:val="00A8053B"/>
    <w:rsid w:val="00A805C4"/>
    <w:rsid w:val="00A809A5"/>
    <w:rsid w:val="00A80B0A"/>
    <w:rsid w:val="00A80C26"/>
    <w:rsid w:val="00A80DF9"/>
    <w:rsid w:val="00A80E36"/>
    <w:rsid w:val="00A81623"/>
    <w:rsid w:val="00A81ECA"/>
    <w:rsid w:val="00A81FAC"/>
    <w:rsid w:val="00A82051"/>
    <w:rsid w:val="00A820FF"/>
    <w:rsid w:val="00A82694"/>
    <w:rsid w:val="00A826A3"/>
    <w:rsid w:val="00A8277C"/>
    <w:rsid w:val="00A829C6"/>
    <w:rsid w:val="00A82C40"/>
    <w:rsid w:val="00A83116"/>
    <w:rsid w:val="00A8316C"/>
    <w:rsid w:val="00A832F9"/>
    <w:rsid w:val="00A83513"/>
    <w:rsid w:val="00A83E8E"/>
    <w:rsid w:val="00A8477D"/>
    <w:rsid w:val="00A847A6"/>
    <w:rsid w:val="00A84B19"/>
    <w:rsid w:val="00A84B3A"/>
    <w:rsid w:val="00A84C3A"/>
    <w:rsid w:val="00A84CC9"/>
    <w:rsid w:val="00A85161"/>
    <w:rsid w:val="00A851CE"/>
    <w:rsid w:val="00A8588A"/>
    <w:rsid w:val="00A85A13"/>
    <w:rsid w:val="00A85BD9"/>
    <w:rsid w:val="00A864A5"/>
    <w:rsid w:val="00A86E1C"/>
    <w:rsid w:val="00A86E9A"/>
    <w:rsid w:val="00A87413"/>
    <w:rsid w:val="00A874A7"/>
    <w:rsid w:val="00A87510"/>
    <w:rsid w:val="00A87534"/>
    <w:rsid w:val="00A8773A"/>
    <w:rsid w:val="00A878D0"/>
    <w:rsid w:val="00A87947"/>
    <w:rsid w:val="00A87AFE"/>
    <w:rsid w:val="00A87C8D"/>
    <w:rsid w:val="00A87ED8"/>
    <w:rsid w:val="00A87F46"/>
    <w:rsid w:val="00A901EA"/>
    <w:rsid w:val="00A9031D"/>
    <w:rsid w:val="00A904F1"/>
    <w:rsid w:val="00A907D9"/>
    <w:rsid w:val="00A90A6A"/>
    <w:rsid w:val="00A90F0F"/>
    <w:rsid w:val="00A912B4"/>
    <w:rsid w:val="00A9196F"/>
    <w:rsid w:val="00A91CA4"/>
    <w:rsid w:val="00A91DFF"/>
    <w:rsid w:val="00A91FEC"/>
    <w:rsid w:val="00A92064"/>
    <w:rsid w:val="00A925D0"/>
    <w:rsid w:val="00A926F4"/>
    <w:rsid w:val="00A92782"/>
    <w:rsid w:val="00A927F4"/>
    <w:rsid w:val="00A928C7"/>
    <w:rsid w:val="00A92AA3"/>
    <w:rsid w:val="00A92AE7"/>
    <w:rsid w:val="00A92C7A"/>
    <w:rsid w:val="00A92E45"/>
    <w:rsid w:val="00A932C7"/>
    <w:rsid w:val="00A93754"/>
    <w:rsid w:val="00A93809"/>
    <w:rsid w:val="00A93B3C"/>
    <w:rsid w:val="00A93D2D"/>
    <w:rsid w:val="00A940C1"/>
    <w:rsid w:val="00A94545"/>
    <w:rsid w:val="00A94664"/>
    <w:rsid w:val="00A94BBB"/>
    <w:rsid w:val="00A94C48"/>
    <w:rsid w:val="00A94D63"/>
    <w:rsid w:val="00A94F9B"/>
    <w:rsid w:val="00A950BC"/>
    <w:rsid w:val="00A9524B"/>
    <w:rsid w:val="00A95295"/>
    <w:rsid w:val="00A95381"/>
    <w:rsid w:val="00A95D24"/>
    <w:rsid w:val="00A95D2C"/>
    <w:rsid w:val="00A96080"/>
    <w:rsid w:val="00A9673B"/>
    <w:rsid w:val="00A96E8D"/>
    <w:rsid w:val="00A96F3B"/>
    <w:rsid w:val="00A97985"/>
    <w:rsid w:val="00A97FD2"/>
    <w:rsid w:val="00AA0119"/>
    <w:rsid w:val="00AA0EA8"/>
    <w:rsid w:val="00AA10DD"/>
    <w:rsid w:val="00AA11E2"/>
    <w:rsid w:val="00AA14D6"/>
    <w:rsid w:val="00AA1EDF"/>
    <w:rsid w:val="00AA1F84"/>
    <w:rsid w:val="00AA203E"/>
    <w:rsid w:val="00AA26DC"/>
    <w:rsid w:val="00AA26F9"/>
    <w:rsid w:val="00AA28A2"/>
    <w:rsid w:val="00AA2B4C"/>
    <w:rsid w:val="00AA30C5"/>
    <w:rsid w:val="00AA3827"/>
    <w:rsid w:val="00AA38E9"/>
    <w:rsid w:val="00AA3BE0"/>
    <w:rsid w:val="00AA4539"/>
    <w:rsid w:val="00AA4985"/>
    <w:rsid w:val="00AA49BE"/>
    <w:rsid w:val="00AA4DBA"/>
    <w:rsid w:val="00AA4DF6"/>
    <w:rsid w:val="00AA4F63"/>
    <w:rsid w:val="00AA53F6"/>
    <w:rsid w:val="00AA5B50"/>
    <w:rsid w:val="00AA5C49"/>
    <w:rsid w:val="00AA5CA2"/>
    <w:rsid w:val="00AA5F92"/>
    <w:rsid w:val="00AA67CB"/>
    <w:rsid w:val="00AA7201"/>
    <w:rsid w:val="00AA73A0"/>
    <w:rsid w:val="00AA79D3"/>
    <w:rsid w:val="00AA7B8C"/>
    <w:rsid w:val="00AB016A"/>
    <w:rsid w:val="00AB03AE"/>
    <w:rsid w:val="00AB05C6"/>
    <w:rsid w:val="00AB06F7"/>
    <w:rsid w:val="00AB0967"/>
    <w:rsid w:val="00AB0EB6"/>
    <w:rsid w:val="00AB161F"/>
    <w:rsid w:val="00AB1C2D"/>
    <w:rsid w:val="00AB1CB4"/>
    <w:rsid w:val="00AB204E"/>
    <w:rsid w:val="00AB2605"/>
    <w:rsid w:val="00AB2FE1"/>
    <w:rsid w:val="00AB3593"/>
    <w:rsid w:val="00AB378B"/>
    <w:rsid w:val="00AB3892"/>
    <w:rsid w:val="00AB3ABD"/>
    <w:rsid w:val="00AB3B86"/>
    <w:rsid w:val="00AB3BF1"/>
    <w:rsid w:val="00AB3D1C"/>
    <w:rsid w:val="00AB3E76"/>
    <w:rsid w:val="00AB4036"/>
    <w:rsid w:val="00AB4086"/>
    <w:rsid w:val="00AB41E5"/>
    <w:rsid w:val="00AB4489"/>
    <w:rsid w:val="00AB49C1"/>
    <w:rsid w:val="00AB4A43"/>
    <w:rsid w:val="00AB4CE7"/>
    <w:rsid w:val="00AB4DD4"/>
    <w:rsid w:val="00AB4E9E"/>
    <w:rsid w:val="00AB4EF5"/>
    <w:rsid w:val="00AB51CE"/>
    <w:rsid w:val="00AB51FF"/>
    <w:rsid w:val="00AB542D"/>
    <w:rsid w:val="00AB5552"/>
    <w:rsid w:val="00AB55BE"/>
    <w:rsid w:val="00AB56AF"/>
    <w:rsid w:val="00AB5D9E"/>
    <w:rsid w:val="00AB5DD9"/>
    <w:rsid w:val="00AB5EE4"/>
    <w:rsid w:val="00AB60D9"/>
    <w:rsid w:val="00AB623C"/>
    <w:rsid w:val="00AB656C"/>
    <w:rsid w:val="00AB65DA"/>
    <w:rsid w:val="00AB77A9"/>
    <w:rsid w:val="00AB7A9A"/>
    <w:rsid w:val="00AC021D"/>
    <w:rsid w:val="00AC02E3"/>
    <w:rsid w:val="00AC0414"/>
    <w:rsid w:val="00AC06D0"/>
    <w:rsid w:val="00AC0728"/>
    <w:rsid w:val="00AC095F"/>
    <w:rsid w:val="00AC10FA"/>
    <w:rsid w:val="00AC15C4"/>
    <w:rsid w:val="00AC1794"/>
    <w:rsid w:val="00AC1A9F"/>
    <w:rsid w:val="00AC1B59"/>
    <w:rsid w:val="00AC209E"/>
    <w:rsid w:val="00AC226E"/>
    <w:rsid w:val="00AC26B2"/>
    <w:rsid w:val="00AC2B46"/>
    <w:rsid w:val="00AC3BFE"/>
    <w:rsid w:val="00AC3C01"/>
    <w:rsid w:val="00AC430B"/>
    <w:rsid w:val="00AC44C2"/>
    <w:rsid w:val="00AC472A"/>
    <w:rsid w:val="00AC4A84"/>
    <w:rsid w:val="00AC4B37"/>
    <w:rsid w:val="00AC4DDB"/>
    <w:rsid w:val="00AC5184"/>
    <w:rsid w:val="00AC529D"/>
    <w:rsid w:val="00AC5504"/>
    <w:rsid w:val="00AC5542"/>
    <w:rsid w:val="00AC5C11"/>
    <w:rsid w:val="00AC5E6D"/>
    <w:rsid w:val="00AC614B"/>
    <w:rsid w:val="00AC61AB"/>
    <w:rsid w:val="00AC6491"/>
    <w:rsid w:val="00AC6620"/>
    <w:rsid w:val="00AC683F"/>
    <w:rsid w:val="00AC7063"/>
    <w:rsid w:val="00AC7388"/>
    <w:rsid w:val="00AC7A97"/>
    <w:rsid w:val="00AC7B4C"/>
    <w:rsid w:val="00AC7D86"/>
    <w:rsid w:val="00AC7E59"/>
    <w:rsid w:val="00AC7FA2"/>
    <w:rsid w:val="00AD0119"/>
    <w:rsid w:val="00AD040F"/>
    <w:rsid w:val="00AD04D2"/>
    <w:rsid w:val="00AD08EC"/>
    <w:rsid w:val="00AD13B5"/>
    <w:rsid w:val="00AD15EE"/>
    <w:rsid w:val="00AD192B"/>
    <w:rsid w:val="00AD1A7F"/>
    <w:rsid w:val="00AD1B6B"/>
    <w:rsid w:val="00AD1E29"/>
    <w:rsid w:val="00AD2049"/>
    <w:rsid w:val="00AD255F"/>
    <w:rsid w:val="00AD2BBB"/>
    <w:rsid w:val="00AD2DD4"/>
    <w:rsid w:val="00AD2EA4"/>
    <w:rsid w:val="00AD2F39"/>
    <w:rsid w:val="00AD3878"/>
    <w:rsid w:val="00AD3B6B"/>
    <w:rsid w:val="00AD3D51"/>
    <w:rsid w:val="00AD4065"/>
    <w:rsid w:val="00AD42D6"/>
    <w:rsid w:val="00AD4408"/>
    <w:rsid w:val="00AD458D"/>
    <w:rsid w:val="00AD4BF5"/>
    <w:rsid w:val="00AD4C15"/>
    <w:rsid w:val="00AD4FB9"/>
    <w:rsid w:val="00AD510F"/>
    <w:rsid w:val="00AD52A8"/>
    <w:rsid w:val="00AD54CE"/>
    <w:rsid w:val="00AD55E1"/>
    <w:rsid w:val="00AD56E4"/>
    <w:rsid w:val="00AD5E21"/>
    <w:rsid w:val="00AD5EF7"/>
    <w:rsid w:val="00AD668F"/>
    <w:rsid w:val="00AD672A"/>
    <w:rsid w:val="00AD681D"/>
    <w:rsid w:val="00AD6842"/>
    <w:rsid w:val="00AD6ADC"/>
    <w:rsid w:val="00AD6C26"/>
    <w:rsid w:val="00AD6F66"/>
    <w:rsid w:val="00AD6F73"/>
    <w:rsid w:val="00AD6F81"/>
    <w:rsid w:val="00AD740F"/>
    <w:rsid w:val="00AD7936"/>
    <w:rsid w:val="00AD7A3C"/>
    <w:rsid w:val="00AD7BF6"/>
    <w:rsid w:val="00AE0285"/>
    <w:rsid w:val="00AE09F2"/>
    <w:rsid w:val="00AE0A3B"/>
    <w:rsid w:val="00AE10CC"/>
    <w:rsid w:val="00AE1576"/>
    <w:rsid w:val="00AE16E8"/>
    <w:rsid w:val="00AE19A5"/>
    <w:rsid w:val="00AE19E7"/>
    <w:rsid w:val="00AE1F84"/>
    <w:rsid w:val="00AE21A0"/>
    <w:rsid w:val="00AE2271"/>
    <w:rsid w:val="00AE25C0"/>
    <w:rsid w:val="00AE27B3"/>
    <w:rsid w:val="00AE2ABF"/>
    <w:rsid w:val="00AE2D4B"/>
    <w:rsid w:val="00AE2E37"/>
    <w:rsid w:val="00AE31A9"/>
    <w:rsid w:val="00AE322A"/>
    <w:rsid w:val="00AE3415"/>
    <w:rsid w:val="00AE38DB"/>
    <w:rsid w:val="00AE399A"/>
    <w:rsid w:val="00AE3BFD"/>
    <w:rsid w:val="00AE3E75"/>
    <w:rsid w:val="00AE4224"/>
    <w:rsid w:val="00AE44D2"/>
    <w:rsid w:val="00AE46D9"/>
    <w:rsid w:val="00AE4974"/>
    <w:rsid w:val="00AE4DC8"/>
    <w:rsid w:val="00AE4FE5"/>
    <w:rsid w:val="00AE5116"/>
    <w:rsid w:val="00AE515B"/>
    <w:rsid w:val="00AE54E1"/>
    <w:rsid w:val="00AE55E0"/>
    <w:rsid w:val="00AE561E"/>
    <w:rsid w:val="00AE56D8"/>
    <w:rsid w:val="00AE571D"/>
    <w:rsid w:val="00AE6623"/>
    <w:rsid w:val="00AE668A"/>
    <w:rsid w:val="00AE66A5"/>
    <w:rsid w:val="00AE69B0"/>
    <w:rsid w:val="00AE78A7"/>
    <w:rsid w:val="00AE7F94"/>
    <w:rsid w:val="00AF0328"/>
    <w:rsid w:val="00AF08EE"/>
    <w:rsid w:val="00AF0D4F"/>
    <w:rsid w:val="00AF12CF"/>
    <w:rsid w:val="00AF13B7"/>
    <w:rsid w:val="00AF1465"/>
    <w:rsid w:val="00AF14D0"/>
    <w:rsid w:val="00AF15BD"/>
    <w:rsid w:val="00AF1776"/>
    <w:rsid w:val="00AF18F2"/>
    <w:rsid w:val="00AF1A9D"/>
    <w:rsid w:val="00AF1DFC"/>
    <w:rsid w:val="00AF1EEC"/>
    <w:rsid w:val="00AF1F69"/>
    <w:rsid w:val="00AF2194"/>
    <w:rsid w:val="00AF2385"/>
    <w:rsid w:val="00AF23DD"/>
    <w:rsid w:val="00AF25D2"/>
    <w:rsid w:val="00AF2956"/>
    <w:rsid w:val="00AF2BEE"/>
    <w:rsid w:val="00AF2C95"/>
    <w:rsid w:val="00AF2F8C"/>
    <w:rsid w:val="00AF2FED"/>
    <w:rsid w:val="00AF305C"/>
    <w:rsid w:val="00AF39EE"/>
    <w:rsid w:val="00AF3A95"/>
    <w:rsid w:val="00AF4776"/>
    <w:rsid w:val="00AF4B48"/>
    <w:rsid w:val="00AF4CA9"/>
    <w:rsid w:val="00AF52F7"/>
    <w:rsid w:val="00AF52FF"/>
    <w:rsid w:val="00AF5495"/>
    <w:rsid w:val="00AF54C3"/>
    <w:rsid w:val="00AF5574"/>
    <w:rsid w:val="00AF5980"/>
    <w:rsid w:val="00AF5C6C"/>
    <w:rsid w:val="00AF5CE7"/>
    <w:rsid w:val="00AF66EA"/>
    <w:rsid w:val="00AF6846"/>
    <w:rsid w:val="00AF6A84"/>
    <w:rsid w:val="00AF6C5A"/>
    <w:rsid w:val="00AF6CF3"/>
    <w:rsid w:val="00AF6D0D"/>
    <w:rsid w:val="00AF6E40"/>
    <w:rsid w:val="00AF6E8F"/>
    <w:rsid w:val="00AF7842"/>
    <w:rsid w:val="00AF79EA"/>
    <w:rsid w:val="00AF7EA6"/>
    <w:rsid w:val="00B00058"/>
    <w:rsid w:val="00B00A36"/>
    <w:rsid w:val="00B012DF"/>
    <w:rsid w:val="00B01450"/>
    <w:rsid w:val="00B0199A"/>
    <w:rsid w:val="00B01A19"/>
    <w:rsid w:val="00B0221F"/>
    <w:rsid w:val="00B0223E"/>
    <w:rsid w:val="00B02B17"/>
    <w:rsid w:val="00B02B2F"/>
    <w:rsid w:val="00B02D5D"/>
    <w:rsid w:val="00B02DCF"/>
    <w:rsid w:val="00B02E97"/>
    <w:rsid w:val="00B02F1D"/>
    <w:rsid w:val="00B03036"/>
    <w:rsid w:val="00B03087"/>
    <w:rsid w:val="00B034F0"/>
    <w:rsid w:val="00B03503"/>
    <w:rsid w:val="00B035A4"/>
    <w:rsid w:val="00B037E5"/>
    <w:rsid w:val="00B03924"/>
    <w:rsid w:val="00B03AD1"/>
    <w:rsid w:val="00B03AFA"/>
    <w:rsid w:val="00B03C28"/>
    <w:rsid w:val="00B03FBD"/>
    <w:rsid w:val="00B04AC6"/>
    <w:rsid w:val="00B04D13"/>
    <w:rsid w:val="00B0517C"/>
    <w:rsid w:val="00B052B4"/>
    <w:rsid w:val="00B05588"/>
    <w:rsid w:val="00B0565F"/>
    <w:rsid w:val="00B059C2"/>
    <w:rsid w:val="00B05A18"/>
    <w:rsid w:val="00B05B9F"/>
    <w:rsid w:val="00B05FEC"/>
    <w:rsid w:val="00B060E0"/>
    <w:rsid w:val="00B0629B"/>
    <w:rsid w:val="00B06335"/>
    <w:rsid w:val="00B066FD"/>
    <w:rsid w:val="00B06951"/>
    <w:rsid w:val="00B06A7F"/>
    <w:rsid w:val="00B06F7E"/>
    <w:rsid w:val="00B07529"/>
    <w:rsid w:val="00B07608"/>
    <w:rsid w:val="00B076E2"/>
    <w:rsid w:val="00B077B5"/>
    <w:rsid w:val="00B0789B"/>
    <w:rsid w:val="00B101C5"/>
    <w:rsid w:val="00B103C2"/>
    <w:rsid w:val="00B10441"/>
    <w:rsid w:val="00B1052E"/>
    <w:rsid w:val="00B10692"/>
    <w:rsid w:val="00B108B4"/>
    <w:rsid w:val="00B109C8"/>
    <w:rsid w:val="00B10F21"/>
    <w:rsid w:val="00B11243"/>
    <w:rsid w:val="00B112A8"/>
    <w:rsid w:val="00B116FA"/>
    <w:rsid w:val="00B119A9"/>
    <w:rsid w:val="00B11C07"/>
    <w:rsid w:val="00B11CF6"/>
    <w:rsid w:val="00B11D5B"/>
    <w:rsid w:val="00B11DDB"/>
    <w:rsid w:val="00B122FF"/>
    <w:rsid w:val="00B132AB"/>
    <w:rsid w:val="00B13563"/>
    <w:rsid w:val="00B135B6"/>
    <w:rsid w:val="00B137A7"/>
    <w:rsid w:val="00B13E09"/>
    <w:rsid w:val="00B14733"/>
    <w:rsid w:val="00B1488C"/>
    <w:rsid w:val="00B14C4E"/>
    <w:rsid w:val="00B15301"/>
    <w:rsid w:val="00B15415"/>
    <w:rsid w:val="00B15519"/>
    <w:rsid w:val="00B1632D"/>
    <w:rsid w:val="00B1693E"/>
    <w:rsid w:val="00B16FC8"/>
    <w:rsid w:val="00B170EE"/>
    <w:rsid w:val="00B1719F"/>
    <w:rsid w:val="00B1737C"/>
    <w:rsid w:val="00B1761C"/>
    <w:rsid w:val="00B17A11"/>
    <w:rsid w:val="00B17B37"/>
    <w:rsid w:val="00B17C69"/>
    <w:rsid w:val="00B17D70"/>
    <w:rsid w:val="00B17DA0"/>
    <w:rsid w:val="00B17EC6"/>
    <w:rsid w:val="00B20339"/>
    <w:rsid w:val="00B20553"/>
    <w:rsid w:val="00B20575"/>
    <w:rsid w:val="00B2065F"/>
    <w:rsid w:val="00B208B8"/>
    <w:rsid w:val="00B20B17"/>
    <w:rsid w:val="00B20D05"/>
    <w:rsid w:val="00B21154"/>
    <w:rsid w:val="00B211F0"/>
    <w:rsid w:val="00B21323"/>
    <w:rsid w:val="00B219FD"/>
    <w:rsid w:val="00B21D79"/>
    <w:rsid w:val="00B220B8"/>
    <w:rsid w:val="00B22238"/>
    <w:rsid w:val="00B22261"/>
    <w:rsid w:val="00B22836"/>
    <w:rsid w:val="00B2285A"/>
    <w:rsid w:val="00B228AB"/>
    <w:rsid w:val="00B23280"/>
    <w:rsid w:val="00B23381"/>
    <w:rsid w:val="00B236B5"/>
    <w:rsid w:val="00B23891"/>
    <w:rsid w:val="00B238C8"/>
    <w:rsid w:val="00B239B5"/>
    <w:rsid w:val="00B23C9A"/>
    <w:rsid w:val="00B23E45"/>
    <w:rsid w:val="00B24075"/>
    <w:rsid w:val="00B242CD"/>
    <w:rsid w:val="00B24492"/>
    <w:rsid w:val="00B245DB"/>
    <w:rsid w:val="00B2473A"/>
    <w:rsid w:val="00B2548C"/>
    <w:rsid w:val="00B2554B"/>
    <w:rsid w:val="00B25989"/>
    <w:rsid w:val="00B25ACD"/>
    <w:rsid w:val="00B25CC3"/>
    <w:rsid w:val="00B260CE"/>
    <w:rsid w:val="00B2625C"/>
    <w:rsid w:val="00B263D6"/>
    <w:rsid w:val="00B269B0"/>
    <w:rsid w:val="00B26DE7"/>
    <w:rsid w:val="00B271BF"/>
    <w:rsid w:val="00B273D2"/>
    <w:rsid w:val="00B276DF"/>
    <w:rsid w:val="00B277A9"/>
    <w:rsid w:val="00B27A68"/>
    <w:rsid w:val="00B27AED"/>
    <w:rsid w:val="00B30372"/>
    <w:rsid w:val="00B303B1"/>
    <w:rsid w:val="00B303B6"/>
    <w:rsid w:val="00B3050B"/>
    <w:rsid w:val="00B30519"/>
    <w:rsid w:val="00B305E1"/>
    <w:rsid w:val="00B3076B"/>
    <w:rsid w:val="00B3094B"/>
    <w:rsid w:val="00B30A59"/>
    <w:rsid w:val="00B30C78"/>
    <w:rsid w:val="00B30D7D"/>
    <w:rsid w:val="00B3102A"/>
    <w:rsid w:val="00B31053"/>
    <w:rsid w:val="00B31A30"/>
    <w:rsid w:val="00B31B37"/>
    <w:rsid w:val="00B31C23"/>
    <w:rsid w:val="00B31CA2"/>
    <w:rsid w:val="00B31F2D"/>
    <w:rsid w:val="00B31FA5"/>
    <w:rsid w:val="00B323D2"/>
    <w:rsid w:val="00B323F6"/>
    <w:rsid w:val="00B32472"/>
    <w:rsid w:val="00B324F9"/>
    <w:rsid w:val="00B3265E"/>
    <w:rsid w:val="00B32850"/>
    <w:rsid w:val="00B32980"/>
    <w:rsid w:val="00B32C97"/>
    <w:rsid w:val="00B32E7F"/>
    <w:rsid w:val="00B32FC0"/>
    <w:rsid w:val="00B33382"/>
    <w:rsid w:val="00B333B8"/>
    <w:rsid w:val="00B336CB"/>
    <w:rsid w:val="00B337D5"/>
    <w:rsid w:val="00B33B13"/>
    <w:rsid w:val="00B340B0"/>
    <w:rsid w:val="00B341ED"/>
    <w:rsid w:val="00B34278"/>
    <w:rsid w:val="00B34470"/>
    <w:rsid w:val="00B3450F"/>
    <w:rsid w:val="00B34BCF"/>
    <w:rsid w:val="00B34E8A"/>
    <w:rsid w:val="00B3517A"/>
    <w:rsid w:val="00B352C8"/>
    <w:rsid w:val="00B35305"/>
    <w:rsid w:val="00B35595"/>
    <w:rsid w:val="00B359A7"/>
    <w:rsid w:val="00B359D1"/>
    <w:rsid w:val="00B359DB"/>
    <w:rsid w:val="00B35EA5"/>
    <w:rsid w:val="00B364EB"/>
    <w:rsid w:val="00B36550"/>
    <w:rsid w:val="00B36A36"/>
    <w:rsid w:val="00B36F19"/>
    <w:rsid w:val="00B370B7"/>
    <w:rsid w:val="00B3712E"/>
    <w:rsid w:val="00B37280"/>
    <w:rsid w:val="00B3738A"/>
    <w:rsid w:val="00B3783E"/>
    <w:rsid w:val="00B378AF"/>
    <w:rsid w:val="00B378DC"/>
    <w:rsid w:val="00B3792C"/>
    <w:rsid w:val="00B40027"/>
    <w:rsid w:val="00B4006C"/>
    <w:rsid w:val="00B40527"/>
    <w:rsid w:val="00B40645"/>
    <w:rsid w:val="00B406F2"/>
    <w:rsid w:val="00B40B23"/>
    <w:rsid w:val="00B40D0D"/>
    <w:rsid w:val="00B40F82"/>
    <w:rsid w:val="00B4134A"/>
    <w:rsid w:val="00B41394"/>
    <w:rsid w:val="00B413C2"/>
    <w:rsid w:val="00B413FA"/>
    <w:rsid w:val="00B41783"/>
    <w:rsid w:val="00B419C7"/>
    <w:rsid w:val="00B41F5F"/>
    <w:rsid w:val="00B422AE"/>
    <w:rsid w:val="00B42478"/>
    <w:rsid w:val="00B4289A"/>
    <w:rsid w:val="00B42973"/>
    <w:rsid w:val="00B42C76"/>
    <w:rsid w:val="00B42CDC"/>
    <w:rsid w:val="00B42D71"/>
    <w:rsid w:val="00B42F37"/>
    <w:rsid w:val="00B42FBE"/>
    <w:rsid w:val="00B430A3"/>
    <w:rsid w:val="00B43206"/>
    <w:rsid w:val="00B43344"/>
    <w:rsid w:val="00B43935"/>
    <w:rsid w:val="00B4398C"/>
    <w:rsid w:val="00B43A89"/>
    <w:rsid w:val="00B43DF3"/>
    <w:rsid w:val="00B43E44"/>
    <w:rsid w:val="00B4400D"/>
    <w:rsid w:val="00B44783"/>
    <w:rsid w:val="00B449A7"/>
    <w:rsid w:val="00B45346"/>
    <w:rsid w:val="00B454CD"/>
    <w:rsid w:val="00B45C29"/>
    <w:rsid w:val="00B45F87"/>
    <w:rsid w:val="00B4629F"/>
    <w:rsid w:val="00B462D2"/>
    <w:rsid w:val="00B463B1"/>
    <w:rsid w:val="00B4660B"/>
    <w:rsid w:val="00B469D0"/>
    <w:rsid w:val="00B469E3"/>
    <w:rsid w:val="00B46C24"/>
    <w:rsid w:val="00B4703D"/>
    <w:rsid w:val="00B470DA"/>
    <w:rsid w:val="00B4717E"/>
    <w:rsid w:val="00B47719"/>
    <w:rsid w:val="00B4790B"/>
    <w:rsid w:val="00B50006"/>
    <w:rsid w:val="00B503DD"/>
    <w:rsid w:val="00B50637"/>
    <w:rsid w:val="00B508EA"/>
    <w:rsid w:val="00B50D84"/>
    <w:rsid w:val="00B50E04"/>
    <w:rsid w:val="00B50F29"/>
    <w:rsid w:val="00B50FA5"/>
    <w:rsid w:val="00B510E9"/>
    <w:rsid w:val="00B515BE"/>
    <w:rsid w:val="00B5168B"/>
    <w:rsid w:val="00B51A25"/>
    <w:rsid w:val="00B51A36"/>
    <w:rsid w:val="00B51CA7"/>
    <w:rsid w:val="00B51FDD"/>
    <w:rsid w:val="00B520CC"/>
    <w:rsid w:val="00B5211C"/>
    <w:rsid w:val="00B52284"/>
    <w:rsid w:val="00B522F1"/>
    <w:rsid w:val="00B52784"/>
    <w:rsid w:val="00B52E15"/>
    <w:rsid w:val="00B531C8"/>
    <w:rsid w:val="00B537EC"/>
    <w:rsid w:val="00B538DA"/>
    <w:rsid w:val="00B53BB0"/>
    <w:rsid w:val="00B54109"/>
    <w:rsid w:val="00B543F4"/>
    <w:rsid w:val="00B54B20"/>
    <w:rsid w:val="00B54B7A"/>
    <w:rsid w:val="00B54BAA"/>
    <w:rsid w:val="00B54C69"/>
    <w:rsid w:val="00B551F2"/>
    <w:rsid w:val="00B55619"/>
    <w:rsid w:val="00B55A3A"/>
    <w:rsid w:val="00B55E09"/>
    <w:rsid w:val="00B55EA5"/>
    <w:rsid w:val="00B56107"/>
    <w:rsid w:val="00B56230"/>
    <w:rsid w:val="00B56247"/>
    <w:rsid w:val="00B563C8"/>
    <w:rsid w:val="00B565F9"/>
    <w:rsid w:val="00B56898"/>
    <w:rsid w:val="00B56A0F"/>
    <w:rsid w:val="00B56BED"/>
    <w:rsid w:val="00B56FB0"/>
    <w:rsid w:val="00B572DF"/>
    <w:rsid w:val="00B574DC"/>
    <w:rsid w:val="00B57B88"/>
    <w:rsid w:val="00B57DBB"/>
    <w:rsid w:val="00B57E02"/>
    <w:rsid w:val="00B57F64"/>
    <w:rsid w:val="00B600D2"/>
    <w:rsid w:val="00B60284"/>
    <w:rsid w:val="00B60433"/>
    <w:rsid w:val="00B604D6"/>
    <w:rsid w:val="00B60567"/>
    <w:rsid w:val="00B60BE8"/>
    <w:rsid w:val="00B6134B"/>
    <w:rsid w:val="00B61590"/>
    <w:rsid w:val="00B61A43"/>
    <w:rsid w:val="00B61C7B"/>
    <w:rsid w:val="00B61D58"/>
    <w:rsid w:val="00B61D67"/>
    <w:rsid w:val="00B61E35"/>
    <w:rsid w:val="00B6222E"/>
    <w:rsid w:val="00B6251B"/>
    <w:rsid w:val="00B6252D"/>
    <w:rsid w:val="00B62631"/>
    <w:rsid w:val="00B626E3"/>
    <w:rsid w:val="00B62CDD"/>
    <w:rsid w:val="00B62E82"/>
    <w:rsid w:val="00B62EA6"/>
    <w:rsid w:val="00B63082"/>
    <w:rsid w:val="00B63388"/>
    <w:rsid w:val="00B634BC"/>
    <w:rsid w:val="00B634FD"/>
    <w:rsid w:val="00B63621"/>
    <w:rsid w:val="00B63634"/>
    <w:rsid w:val="00B63670"/>
    <w:rsid w:val="00B6381B"/>
    <w:rsid w:val="00B6384A"/>
    <w:rsid w:val="00B63BC2"/>
    <w:rsid w:val="00B63C3B"/>
    <w:rsid w:val="00B63E10"/>
    <w:rsid w:val="00B644B2"/>
    <w:rsid w:val="00B644FF"/>
    <w:rsid w:val="00B645D6"/>
    <w:rsid w:val="00B64910"/>
    <w:rsid w:val="00B649CB"/>
    <w:rsid w:val="00B64C85"/>
    <w:rsid w:val="00B64F0E"/>
    <w:rsid w:val="00B650EE"/>
    <w:rsid w:val="00B65334"/>
    <w:rsid w:val="00B65F47"/>
    <w:rsid w:val="00B6626A"/>
    <w:rsid w:val="00B66318"/>
    <w:rsid w:val="00B664E7"/>
    <w:rsid w:val="00B6691D"/>
    <w:rsid w:val="00B66C19"/>
    <w:rsid w:val="00B66C58"/>
    <w:rsid w:val="00B66E37"/>
    <w:rsid w:val="00B66EA5"/>
    <w:rsid w:val="00B6734D"/>
    <w:rsid w:val="00B6755F"/>
    <w:rsid w:val="00B67D0D"/>
    <w:rsid w:val="00B67DC9"/>
    <w:rsid w:val="00B7003B"/>
    <w:rsid w:val="00B7031E"/>
    <w:rsid w:val="00B70415"/>
    <w:rsid w:val="00B7078A"/>
    <w:rsid w:val="00B70D60"/>
    <w:rsid w:val="00B71017"/>
    <w:rsid w:val="00B71489"/>
    <w:rsid w:val="00B71990"/>
    <w:rsid w:val="00B7209B"/>
    <w:rsid w:val="00B722D4"/>
    <w:rsid w:val="00B728E5"/>
    <w:rsid w:val="00B72B88"/>
    <w:rsid w:val="00B7365E"/>
    <w:rsid w:val="00B736B8"/>
    <w:rsid w:val="00B73869"/>
    <w:rsid w:val="00B73925"/>
    <w:rsid w:val="00B73D7D"/>
    <w:rsid w:val="00B740BC"/>
    <w:rsid w:val="00B74415"/>
    <w:rsid w:val="00B746E3"/>
    <w:rsid w:val="00B74887"/>
    <w:rsid w:val="00B749C7"/>
    <w:rsid w:val="00B74B17"/>
    <w:rsid w:val="00B74C3E"/>
    <w:rsid w:val="00B75510"/>
    <w:rsid w:val="00B75663"/>
    <w:rsid w:val="00B75921"/>
    <w:rsid w:val="00B7596F"/>
    <w:rsid w:val="00B75C40"/>
    <w:rsid w:val="00B75DD1"/>
    <w:rsid w:val="00B75F1C"/>
    <w:rsid w:val="00B76098"/>
    <w:rsid w:val="00B766BE"/>
    <w:rsid w:val="00B7695B"/>
    <w:rsid w:val="00B76B58"/>
    <w:rsid w:val="00B76BB7"/>
    <w:rsid w:val="00B76C6F"/>
    <w:rsid w:val="00B76CD3"/>
    <w:rsid w:val="00B770B9"/>
    <w:rsid w:val="00B7734D"/>
    <w:rsid w:val="00B7742F"/>
    <w:rsid w:val="00B774F8"/>
    <w:rsid w:val="00B77EC2"/>
    <w:rsid w:val="00B80426"/>
    <w:rsid w:val="00B8044A"/>
    <w:rsid w:val="00B8061F"/>
    <w:rsid w:val="00B80760"/>
    <w:rsid w:val="00B80962"/>
    <w:rsid w:val="00B80A95"/>
    <w:rsid w:val="00B80B31"/>
    <w:rsid w:val="00B80F8F"/>
    <w:rsid w:val="00B81189"/>
    <w:rsid w:val="00B81292"/>
    <w:rsid w:val="00B8138B"/>
    <w:rsid w:val="00B8179F"/>
    <w:rsid w:val="00B81C86"/>
    <w:rsid w:val="00B81E15"/>
    <w:rsid w:val="00B81E50"/>
    <w:rsid w:val="00B82357"/>
    <w:rsid w:val="00B8274E"/>
    <w:rsid w:val="00B82A47"/>
    <w:rsid w:val="00B83209"/>
    <w:rsid w:val="00B8344C"/>
    <w:rsid w:val="00B83A00"/>
    <w:rsid w:val="00B83C18"/>
    <w:rsid w:val="00B83D60"/>
    <w:rsid w:val="00B83E76"/>
    <w:rsid w:val="00B83EF7"/>
    <w:rsid w:val="00B84274"/>
    <w:rsid w:val="00B84281"/>
    <w:rsid w:val="00B849C8"/>
    <w:rsid w:val="00B84CE1"/>
    <w:rsid w:val="00B84D5B"/>
    <w:rsid w:val="00B85073"/>
    <w:rsid w:val="00B8515B"/>
    <w:rsid w:val="00B852E0"/>
    <w:rsid w:val="00B855B5"/>
    <w:rsid w:val="00B855DA"/>
    <w:rsid w:val="00B855DC"/>
    <w:rsid w:val="00B85867"/>
    <w:rsid w:val="00B85B1F"/>
    <w:rsid w:val="00B85D76"/>
    <w:rsid w:val="00B85FF2"/>
    <w:rsid w:val="00B8603A"/>
    <w:rsid w:val="00B86347"/>
    <w:rsid w:val="00B86400"/>
    <w:rsid w:val="00B86581"/>
    <w:rsid w:val="00B8665F"/>
    <w:rsid w:val="00B86A1E"/>
    <w:rsid w:val="00B86C02"/>
    <w:rsid w:val="00B86D70"/>
    <w:rsid w:val="00B86E63"/>
    <w:rsid w:val="00B870EA"/>
    <w:rsid w:val="00B87251"/>
    <w:rsid w:val="00B87379"/>
    <w:rsid w:val="00B87387"/>
    <w:rsid w:val="00B87435"/>
    <w:rsid w:val="00B8775B"/>
    <w:rsid w:val="00B8792E"/>
    <w:rsid w:val="00B87967"/>
    <w:rsid w:val="00B879CD"/>
    <w:rsid w:val="00B87A67"/>
    <w:rsid w:val="00B90552"/>
    <w:rsid w:val="00B90A11"/>
    <w:rsid w:val="00B90B1B"/>
    <w:rsid w:val="00B91297"/>
    <w:rsid w:val="00B916F7"/>
    <w:rsid w:val="00B920A1"/>
    <w:rsid w:val="00B92710"/>
    <w:rsid w:val="00B928F3"/>
    <w:rsid w:val="00B929DE"/>
    <w:rsid w:val="00B92C15"/>
    <w:rsid w:val="00B92EA6"/>
    <w:rsid w:val="00B930A9"/>
    <w:rsid w:val="00B930FB"/>
    <w:rsid w:val="00B9318F"/>
    <w:rsid w:val="00B93930"/>
    <w:rsid w:val="00B93CA2"/>
    <w:rsid w:val="00B93DF8"/>
    <w:rsid w:val="00B9439F"/>
    <w:rsid w:val="00B948A2"/>
    <w:rsid w:val="00B94A99"/>
    <w:rsid w:val="00B94EE6"/>
    <w:rsid w:val="00B94FCD"/>
    <w:rsid w:val="00B9576C"/>
    <w:rsid w:val="00B957FA"/>
    <w:rsid w:val="00B958BF"/>
    <w:rsid w:val="00B9652F"/>
    <w:rsid w:val="00B96CF3"/>
    <w:rsid w:val="00B96D2C"/>
    <w:rsid w:val="00B976AD"/>
    <w:rsid w:val="00B97A78"/>
    <w:rsid w:val="00B97AAD"/>
    <w:rsid w:val="00B97B69"/>
    <w:rsid w:val="00B97CD6"/>
    <w:rsid w:val="00B97E62"/>
    <w:rsid w:val="00BA0074"/>
    <w:rsid w:val="00BA05F1"/>
    <w:rsid w:val="00BA0869"/>
    <w:rsid w:val="00BA0B43"/>
    <w:rsid w:val="00BA0D88"/>
    <w:rsid w:val="00BA0EDE"/>
    <w:rsid w:val="00BA1055"/>
    <w:rsid w:val="00BA1304"/>
    <w:rsid w:val="00BA1460"/>
    <w:rsid w:val="00BA1B82"/>
    <w:rsid w:val="00BA2176"/>
    <w:rsid w:val="00BA21A3"/>
    <w:rsid w:val="00BA2934"/>
    <w:rsid w:val="00BA2944"/>
    <w:rsid w:val="00BA2A37"/>
    <w:rsid w:val="00BA2C57"/>
    <w:rsid w:val="00BA2FC4"/>
    <w:rsid w:val="00BA307C"/>
    <w:rsid w:val="00BA3331"/>
    <w:rsid w:val="00BA35E1"/>
    <w:rsid w:val="00BA3A50"/>
    <w:rsid w:val="00BA3A97"/>
    <w:rsid w:val="00BA3E7C"/>
    <w:rsid w:val="00BA414C"/>
    <w:rsid w:val="00BA4378"/>
    <w:rsid w:val="00BA46FA"/>
    <w:rsid w:val="00BA47FF"/>
    <w:rsid w:val="00BA490B"/>
    <w:rsid w:val="00BA4B77"/>
    <w:rsid w:val="00BA4E53"/>
    <w:rsid w:val="00BA4EE5"/>
    <w:rsid w:val="00BA4F0A"/>
    <w:rsid w:val="00BA50C2"/>
    <w:rsid w:val="00BA52E0"/>
    <w:rsid w:val="00BA5554"/>
    <w:rsid w:val="00BA56BE"/>
    <w:rsid w:val="00BA56F5"/>
    <w:rsid w:val="00BA5808"/>
    <w:rsid w:val="00BA5A9C"/>
    <w:rsid w:val="00BA6323"/>
    <w:rsid w:val="00BA640C"/>
    <w:rsid w:val="00BA6444"/>
    <w:rsid w:val="00BA69DE"/>
    <w:rsid w:val="00BA6CA0"/>
    <w:rsid w:val="00BA6E97"/>
    <w:rsid w:val="00BA6F2F"/>
    <w:rsid w:val="00BA7016"/>
    <w:rsid w:val="00BA71A8"/>
    <w:rsid w:val="00BA71D6"/>
    <w:rsid w:val="00BA731E"/>
    <w:rsid w:val="00BA737E"/>
    <w:rsid w:val="00BA74D8"/>
    <w:rsid w:val="00BA77ED"/>
    <w:rsid w:val="00BA77FD"/>
    <w:rsid w:val="00BA7849"/>
    <w:rsid w:val="00BA7937"/>
    <w:rsid w:val="00BA7F5E"/>
    <w:rsid w:val="00BB0437"/>
    <w:rsid w:val="00BB0C13"/>
    <w:rsid w:val="00BB0E0F"/>
    <w:rsid w:val="00BB0F28"/>
    <w:rsid w:val="00BB1180"/>
    <w:rsid w:val="00BB1611"/>
    <w:rsid w:val="00BB17CD"/>
    <w:rsid w:val="00BB18F3"/>
    <w:rsid w:val="00BB1908"/>
    <w:rsid w:val="00BB1C3A"/>
    <w:rsid w:val="00BB1F81"/>
    <w:rsid w:val="00BB2616"/>
    <w:rsid w:val="00BB26D6"/>
    <w:rsid w:val="00BB28F2"/>
    <w:rsid w:val="00BB28F7"/>
    <w:rsid w:val="00BB2B35"/>
    <w:rsid w:val="00BB2EC9"/>
    <w:rsid w:val="00BB3038"/>
    <w:rsid w:val="00BB3116"/>
    <w:rsid w:val="00BB361C"/>
    <w:rsid w:val="00BB3697"/>
    <w:rsid w:val="00BB3C10"/>
    <w:rsid w:val="00BB3C3E"/>
    <w:rsid w:val="00BB3C5D"/>
    <w:rsid w:val="00BB3D2F"/>
    <w:rsid w:val="00BB3D31"/>
    <w:rsid w:val="00BB3ED8"/>
    <w:rsid w:val="00BB44E6"/>
    <w:rsid w:val="00BB5612"/>
    <w:rsid w:val="00BB570F"/>
    <w:rsid w:val="00BB57F4"/>
    <w:rsid w:val="00BB5AAC"/>
    <w:rsid w:val="00BB5D46"/>
    <w:rsid w:val="00BB69D5"/>
    <w:rsid w:val="00BB6D47"/>
    <w:rsid w:val="00BB700A"/>
    <w:rsid w:val="00BB7185"/>
    <w:rsid w:val="00BB7573"/>
    <w:rsid w:val="00BC003B"/>
    <w:rsid w:val="00BC0169"/>
    <w:rsid w:val="00BC036D"/>
    <w:rsid w:val="00BC0610"/>
    <w:rsid w:val="00BC074B"/>
    <w:rsid w:val="00BC09DB"/>
    <w:rsid w:val="00BC09DF"/>
    <w:rsid w:val="00BC1052"/>
    <w:rsid w:val="00BC1358"/>
    <w:rsid w:val="00BC15A0"/>
    <w:rsid w:val="00BC1C30"/>
    <w:rsid w:val="00BC21BA"/>
    <w:rsid w:val="00BC230F"/>
    <w:rsid w:val="00BC260F"/>
    <w:rsid w:val="00BC2B8E"/>
    <w:rsid w:val="00BC2C26"/>
    <w:rsid w:val="00BC2EBB"/>
    <w:rsid w:val="00BC320C"/>
    <w:rsid w:val="00BC3344"/>
    <w:rsid w:val="00BC3567"/>
    <w:rsid w:val="00BC3EF4"/>
    <w:rsid w:val="00BC40BA"/>
    <w:rsid w:val="00BC4342"/>
    <w:rsid w:val="00BC4557"/>
    <w:rsid w:val="00BC4969"/>
    <w:rsid w:val="00BC4F4B"/>
    <w:rsid w:val="00BC4FD9"/>
    <w:rsid w:val="00BC51E7"/>
    <w:rsid w:val="00BC546A"/>
    <w:rsid w:val="00BC58DC"/>
    <w:rsid w:val="00BC591F"/>
    <w:rsid w:val="00BC5A4D"/>
    <w:rsid w:val="00BC5F1F"/>
    <w:rsid w:val="00BC6136"/>
    <w:rsid w:val="00BC6180"/>
    <w:rsid w:val="00BC6297"/>
    <w:rsid w:val="00BC6A1A"/>
    <w:rsid w:val="00BC6CEA"/>
    <w:rsid w:val="00BC6F72"/>
    <w:rsid w:val="00BC6FB9"/>
    <w:rsid w:val="00BC72CF"/>
    <w:rsid w:val="00BC7566"/>
    <w:rsid w:val="00BC7C5B"/>
    <w:rsid w:val="00BC7D19"/>
    <w:rsid w:val="00BC7D34"/>
    <w:rsid w:val="00BC7F19"/>
    <w:rsid w:val="00BD0311"/>
    <w:rsid w:val="00BD0336"/>
    <w:rsid w:val="00BD0410"/>
    <w:rsid w:val="00BD06C0"/>
    <w:rsid w:val="00BD0FAD"/>
    <w:rsid w:val="00BD1044"/>
    <w:rsid w:val="00BD11CE"/>
    <w:rsid w:val="00BD1308"/>
    <w:rsid w:val="00BD15E6"/>
    <w:rsid w:val="00BD187D"/>
    <w:rsid w:val="00BD1DEE"/>
    <w:rsid w:val="00BD2092"/>
    <w:rsid w:val="00BD2488"/>
    <w:rsid w:val="00BD32A0"/>
    <w:rsid w:val="00BD352E"/>
    <w:rsid w:val="00BD3688"/>
    <w:rsid w:val="00BD3B04"/>
    <w:rsid w:val="00BD3D25"/>
    <w:rsid w:val="00BD4347"/>
    <w:rsid w:val="00BD45E5"/>
    <w:rsid w:val="00BD45EF"/>
    <w:rsid w:val="00BD4698"/>
    <w:rsid w:val="00BD4938"/>
    <w:rsid w:val="00BD4BDA"/>
    <w:rsid w:val="00BD555E"/>
    <w:rsid w:val="00BD55BB"/>
    <w:rsid w:val="00BD584A"/>
    <w:rsid w:val="00BD5920"/>
    <w:rsid w:val="00BD59A6"/>
    <w:rsid w:val="00BD5AE1"/>
    <w:rsid w:val="00BD5CD9"/>
    <w:rsid w:val="00BD5EAC"/>
    <w:rsid w:val="00BD61C5"/>
    <w:rsid w:val="00BD61D4"/>
    <w:rsid w:val="00BD649E"/>
    <w:rsid w:val="00BD64EB"/>
    <w:rsid w:val="00BD698F"/>
    <w:rsid w:val="00BD69AA"/>
    <w:rsid w:val="00BD6B35"/>
    <w:rsid w:val="00BD6CED"/>
    <w:rsid w:val="00BD6E3E"/>
    <w:rsid w:val="00BD7051"/>
    <w:rsid w:val="00BD75A7"/>
    <w:rsid w:val="00BD79DA"/>
    <w:rsid w:val="00BD7B19"/>
    <w:rsid w:val="00BD7BA1"/>
    <w:rsid w:val="00BE0072"/>
    <w:rsid w:val="00BE0091"/>
    <w:rsid w:val="00BE0199"/>
    <w:rsid w:val="00BE01FE"/>
    <w:rsid w:val="00BE0548"/>
    <w:rsid w:val="00BE0672"/>
    <w:rsid w:val="00BE097D"/>
    <w:rsid w:val="00BE0D5C"/>
    <w:rsid w:val="00BE0F76"/>
    <w:rsid w:val="00BE1291"/>
    <w:rsid w:val="00BE17AC"/>
    <w:rsid w:val="00BE18DB"/>
    <w:rsid w:val="00BE1AB4"/>
    <w:rsid w:val="00BE1C44"/>
    <w:rsid w:val="00BE212A"/>
    <w:rsid w:val="00BE2194"/>
    <w:rsid w:val="00BE220B"/>
    <w:rsid w:val="00BE24CA"/>
    <w:rsid w:val="00BE2502"/>
    <w:rsid w:val="00BE2850"/>
    <w:rsid w:val="00BE319B"/>
    <w:rsid w:val="00BE35C3"/>
    <w:rsid w:val="00BE3A4A"/>
    <w:rsid w:val="00BE3CCC"/>
    <w:rsid w:val="00BE3E28"/>
    <w:rsid w:val="00BE3E60"/>
    <w:rsid w:val="00BE3F8B"/>
    <w:rsid w:val="00BE3FA0"/>
    <w:rsid w:val="00BE4326"/>
    <w:rsid w:val="00BE44FD"/>
    <w:rsid w:val="00BE4710"/>
    <w:rsid w:val="00BE495F"/>
    <w:rsid w:val="00BE49B9"/>
    <w:rsid w:val="00BE4C0A"/>
    <w:rsid w:val="00BE50A5"/>
    <w:rsid w:val="00BE5230"/>
    <w:rsid w:val="00BE52D8"/>
    <w:rsid w:val="00BE53A6"/>
    <w:rsid w:val="00BE543D"/>
    <w:rsid w:val="00BE568A"/>
    <w:rsid w:val="00BE5A09"/>
    <w:rsid w:val="00BE5B69"/>
    <w:rsid w:val="00BE5DE7"/>
    <w:rsid w:val="00BE5E78"/>
    <w:rsid w:val="00BE5E88"/>
    <w:rsid w:val="00BE60DF"/>
    <w:rsid w:val="00BE6263"/>
    <w:rsid w:val="00BE67A0"/>
    <w:rsid w:val="00BE6B1D"/>
    <w:rsid w:val="00BE6B85"/>
    <w:rsid w:val="00BE6C29"/>
    <w:rsid w:val="00BE6C8A"/>
    <w:rsid w:val="00BE6D0D"/>
    <w:rsid w:val="00BE6FCB"/>
    <w:rsid w:val="00BE73BD"/>
    <w:rsid w:val="00BE7403"/>
    <w:rsid w:val="00BE75B6"/>
    <w:rsid w:val="00BE7BBD"/>
    <w:rsid w:val="00BE7E78"/>
    <w:rsid w:val="00BF0002"/>
    <w:rsid w:val="00BF004F"/>
    <w:rsid w:val="00BF058C"/>
    <w:rsid w:val="00BF0D71"/>
    <w:rsid w:val="00BF1072"/>
    <w:rsid w:val="00BF1114"/>
    <w:rsid w:val="00BF18DD"/>
    <w:rsid w:val="00BF190A"/>
    <w:rsid w:val="00BF1DB3"/>
    <w:rsid w:val="00BF1E92"/>
    <w:rsid w:val="00BF1F9C"/>
    <w:rsid w:val="00BF207B"/>
    <w:rsid w:val="00BF20B8"/>
    <w:rsid w:val="00BF244B"/>
    <w:rsid w:val="00BF24D9"/>
    <w:rsid w:val="00BF2ECC"/>
    <w:rsid w:val="00BF2F6C"/>
    <w:rsid w:val="00BF30FE"/>
    <w:rsid w:val="00BF32B9"/>
    <w:rsid w:val="00BF343F"/>
    <w:rsid w:val="00BF3CFE"/>
    <w:rsid w:val="00BF3DC2"/>
    <w:rsid w:val="00BF3FB7"/>
    <w:rsid w:val="00BF40A3"/>
    <w:rsid w:val="00BF448D"/>
    <w:rsid w:val="00BF487C"/>
    <w:rsid w:val="00BF4E00"/>
    <w:rsid w:val="00BF504D"/>
    <w:rsid w:val="00BF5110"/>
    <w:rsid w:val="00BF52C1"/>
    <w:rsid w:val="00BF52C7"/>
    <w:rsid w:val="00BF5602"/>
    <w:rsid w:val="00BF5A81"/>
    <w:rsid w:val="00BF5DBF"/>
    <w:rsid w:val="00BF603F"/>
    <w:rsid w:val="00BF63C1"/>
    <w:rsid w:val="00BF64BD"/>
    <w:rsid w:val="00BF656E"/>
    <w:rsid w:val="00BF6B47"/>
    <w:rsid w:val="00BF6E6C"/>
    <w:rsid w:val="00BF71D8"/>
    <w:rsid w:val="00BF73AB"/>
    <w:rsid w:val="00BF7970"/>
    <w:rsid w:val="00BF7F28"/>
    <w:rsid w:val="00C00084"/>
    <w:rsid w:val="00C00294"/>
    <w:rsid w:val="00C00387"/>
    <w:rsid w:val="00C0044E"/>
    <w:rsid w:val="00C0083D"/>
    <w:rsid w:val="00C0085D"/>
    <w:rsid w:val="00C00EA0"/>
    <w:rsid w:val="00C00EE4"/>
    <w:rsid w:val="00C01240"/>
    <w:rsid w:val="00C0134A"/>
    <w:rsid w:val="00C018CA"/>
    <w:rsid w:val="00C018EA"/>
    <w:rsid w:val="00C01945"/>
    <w:rsid w:val="00C01B9A"/>
    <w:rsid w:val="00C01BE6"/>
    <w:rsid w:val="00C0200E"/>
    <w:rsid w:val="00C02239"/>
    <w:rsid w:val="00C02736"/>
    <w:rsid w:val="00C027A0"/>
    <w:rsid w:val="00C02B1F"/>
    <w:rsid w:val="00C0308F"/>
    <w:rsid w:val="00C033E5"/>
    <w:rsid w:val="00C03512"/>
    <w:rsid w:val="00C03833"/>
    <w:rsid w:val="00C038B4"/>
    <w:rsid w:val="00C03BF3"/>
    <w:rsid w:val="00C03CDF"/>
    <w:rsid w:val="00C03D31"/>
    <w:rsid w:val="00C03E97"/>
    <w:rsid w:val="00C040F2"/>
    <w:rsid w:val="00C0442F"/>
    <w:rsid w:val="00C04648"/>
    <w:rsid w:val="00C04685"/>
    <w:rsid w:val="00C049CE"/>
    <w:rsid w:val="00C04CBE"/>
    <w:rsid w:val="00C04D25"/>
    <w:rsid w:val="00C04D64"/>
    <w:rsid w:val="00C052A1"/>
    <w:rsid w:val="00C052FA"/>
    <w:rsid w:val="00C05502"/>
    <w:rsid w:val="00C056B1"/>
    <w:rsid w:val="00C059B6"/>
    <w:rsid w:val="00C05A52"/>
    <w:rsid w:val="00C05ACB"/>
    <w:rsid w:val="00C05F9D"/>
    <w:rsid w:val="00C05FE2"/>
    <w:rsid w:val="00C05FF6"/>
    <w:rsid w:val="00C0618A"/>
    <w:rsid w:val="00C073F3"/>
    <w:rsid w:val="00C07601"/>
    <w:rsid w:val="00C07684"/>
    <w:rsid w:val="00C076B2"/>
    <w:rsid w:val="00C07910"/>
    <w:rsid w:val="00C07B66"/>
    <w:rsid w:val="00C07D4A"/>
    <w:rsid w:val="00C10200"/>
    <w:rsid w:val="00C10573"/>
    <w:rsid w:val="00C10575"/>
    <w:rsid w:val="00C10742"/>
    <w:rsid w:val="00C107BA"/>
    <w:rsid w:val="00C10C90"/>
    <w:rsid w:val="00C10F0D"/>
    <w:rsid w:val="00C10FF6"/>
    <w:rsid w:val="00C11167"/>
    <w:rsid w:val="00C11363"/>
    <w:rsid w:val="00C115D9"/>
    <w:rsid w:val="00C116BF"/>
    <w:rsid w:val="00C11721"/>
    <w:rsid w:val="00C11845"/>
    <w:rsid w:val="00C11C85"/>
    <w:rsid w:val="00C11CE8"/>
    <w:rsid w:val="00C12076"/>
    <w:rsid w:val="00C12093"/>
    <w:rsid w:val="00C128D9"/>
    <w:rsid w:val="00C12AC7"/>
    <w:rsid w:val="00C12C15"/>
    <w:rsid w:val="00C12DF7"/>
    <w:rsid w:val="00C12ED0"/>
    <w:rsid w:val="00C12F83"/>
    <w:rsid w:val="00C1312E"/>
    <w:rsid w:val="00C1393B"/>
    <w:rsid w:val="00C13B91"/>
    <w:rsid w:val="00C13BE0"/>
    <w:rsid w:val="00C13C13"/>
    <w:rsid w:val="00C13CA2"/>
    <w:rsid w:val="00C13CF2"/>
    <w:rsid w:val="00C14127"/>
    <w:rsid w:val="00C1418C"/>
    <w:rsid w:val="00C146AE"/>
    <w:rsid w:val="00C14B83"/>
    <w:rsid w:val="00C14CE4"/>
    <w:rsid w:val="00C14E44"/>
    <w:rsid w:val="00C1531C"/>
    <w:rsid w:val="00C153FD"/>
    <w:rsid w:val="00C15581"/>
    <w:rsid w:val="00C15634"/>
    <w:rsid w:val="00C15743"/>
    <w:rsid w:val="00C15A77"/>
    <w:rsid w:val="00C15B99"/>
    <w:rsid w:val="00C15BF5"/>
    <w:rsid w:val="00C15F1B"/>
    <w:rsid w:val="00C15F26"/>
    <w:rsid w:val="00C16175"/>
    <w:rsid w:val="00C1620F"/>
    <w:rsid w:val="00C16CFC"/>
    <w:rsid w:val="00C17016"/>
    <w:rsid w:val="00C17025"/>
    <w:rsid w:val="00C1746D"/>
    <w:rsid w:val="00C1783D"/>
    <w:rsid w:val="00C17C17"/>
    <w:rsid w:val="00C20199"/>
    <w:rsid w:val="00C20447"/>
    <w:rsid w:val="00C20527"/>
    <w:rsid w:val="00C2062D"/>
    <w:rsid w:val="00C20CA1"/>
    <w:rsid w:val="00C20CC4"/>
    <w:rsid w:val="00C20D03"/>
    <w:rsid w:val="00C20E4D"/>
    <w:rsid w:val="00C20E7D"/>
    <w:rsid w:val="00C21243"/>
    <w:rsid w:val="00C21648"/>
    <w:rsid w:val="00C21685"/>
    <w:rsid w:val="00C2199B"/>
    <w:rsid w:val="00C21ACD"/>
    <w:rsid w:val="00C21D0E"/>
    <w:rsid w:val="00C22256"/>
    <w:rsid w:val="00C222D2"/>
    <w:rsid w:val="00C2289E"/>
    <w:rsid w:val="00C22B3A"/>
    <w:rsid w:val="00C22BBC"/>
    <w:rsid w:val="00C23001"/>
    <w:rsid w:val="00C2348A"/>
    <w:rsid w:val="00C23785"/>
    <w:rsid w:val="00C23C52"/>
    <w:rsid w:val="00C23F86"/>
    <w:rsid w:val="00C24519"/>
    <w:rsid w:val="00C24FE6"/>
    <w:rsid w:val="00C2505C"/>
    <w:rsid w:val="00C25587"/>
    <w:rsid w:val="00C255A9"/>
    <w:rsid w:val="00C26416"/>
    <w:rsid w:val="00C26868"/>
    <w:rsid w:val="00C26A1B"/>
    <w:rsid w:val="00C26D16"/>
    <w:rsid w:val="00C26D85"/>
    <w:rsid w:val="00C272FE"/>
    <w:rsid w:val="00C27527"/>
    <w:rsid w:val="00C300DF"/>
    <w:rsid w:val="00C30211"/>
    <w:rsid w:val="00C302DE"/>
    <w:rsid w:val="00C30842"/>
    <w:rsid w:val="00C30AE1"/>
    <w:rsid w:val="00C30CC7"/>
    <w:rsid w:val="00C30E37"/>
    <w:rsid w:val="00C310FF"/>
    <w:rsid w:val="00C3119F"/>
    <w:rsid w:val="00C31493"/>
    <w:rsid w:val="00C31838"/>
    <w:rsid w:val="00C31F79"/>
    <w:rsid w:val="00C321DB"/>
    <w:rsid w:val="00C32244"/>
    <w:rsid w:val="00C32433"/>
    <w:rsid w:val="00C32A2E"/>
    <w:rsid w:val="00C32C89"/>
    <w:rsid w:val="00C32D20"/>
    <w:rsid w:val="00C33035"/>
    <w:rsid w:val="00C33F6F"/>
    <w:rsid w:val="00C34136"/>
    <w:rsid w:val="00C34313"/>
    <w:rsid w:val="00C34582"/>
    <w:rsid w:val="00C34973"/>
    <w:rsid w:val="00C349E7"/>
    <w:rsid w:val="00C34D0B"/>
    <w:rsid w:val="00C35572"/>
    <w:rsid w:val="00C35954"/>
    <w:rsid w:val="00C35969"/>
    <w:rsid w:val="00C35EA4"/>
    <w:rsid w:val="00C35FCC"/>
    <w:rsid w:val="00C36305"/>
    <w:rsid w:val="00C369C9"/>
    <w:rsid w:val="00C37417"/>
    <w:rsid w:val="00C374D2"/>
    <w:rsid w:val="00C37811"/>
    <w:rsid w:val="00C37893"/>
    <w:rsid w:val="00C3791C"/>
    <w:rsid w:val="00C37953"/>
    <w:rsid w:val="00C37A53"/>
    <w:rsid w:val="00C37E44"/>
    <w:rsid w:val="00C40031"/>
    <w:rsid w:val="00C40041"/>
    <w:rsid w:val="00C400DB"/>
    <w:rsid w:val="00C405AE"/>
    <w:rsid w:val="00C4064C"/>
    <w:rsid w:val="00C40695"/>
    <w:rsid w:val="00C40EAF"/>
    <w:rsid w:val="00C41173"/>
    <w:rsid w:val="00C41AAB"/>
    <w:rsid w:val="00C4212C"/>
    <w:rsid w:val="00C42592"/>
    <w:rsid w:val="00C42A2C"/>
    <w:rsid w:val="00C42A3B"/>
    <w:rsid w:val="00C42B57"/>
    <w:rsid w:val="00C42D68"/>
    <w:rsid w:val="00C42E48"/>
    <w:rsid w:val="00C42FB8"/>
    <w:rsid w:val="00C42FC1"/>
    <w:rsid w:val="00C4308F"/>
    <w:rsid w:val="00C43635"/>
    <w:rsid w:val="00C4390B"/>
    <w:rsid w:val="00C43CFA"/>
    <w:rsid w:val="00C43ECC"/>
    <w:rsid w:val="00C44266"/>
    <w:rsid w:val="00C448F2"/>
    <w:rsid w:val="00C44F5D"/>
    <w:rsid w:val="00C44F86"/>
    <w:rsid w:val="00C45071"/>
    <w:rsid w:val="00C45173"/>
    <w:rsid w:val="00C4517C"/>
    <w:rsid w:val="00C45448"/>
    <w:rsid w:val="00C4590C"/>
    <w:rsid w:val="00C45961"/>
    <w:rsid w:val="00C459CE"/>
    <w:rsid w:val="00C45ED9"/>
    <w:rsid w:val="00C4646E"/>
    <w:rsid w:val="00C4670B"/>
    <w:rsid w:val="00C46714"/>
    <w:rsid w:val="00C46CF4"/>
    <w:rsid w:val="00C46CF5"/>
    <w:rsid w:val="00C46D37"/>
    <w:rsid w:val="00C46D61"/>
    <w:rsid w:val="00C474F8"/>
    <w:rsid w:val="00C47B26"/>
    <w:rsid w:val="00C47BE8"/>
    <w:rsid w:val="00C47F3F"/>
    <w:rsid w:val="00C47F42"/>
    <w:rsid w:val="00C500B9"/>
    <w:rsid w:val="00C50189"/>
    <w:rsid w:val="00C502C0"/>
    <w:rsid w:val="00C50AB1"/>
    <w:rsid w:val="00C50C96"/>
    <w:rsid w:val="00C50F21"/>
    <w:rsid w:val="00C51205"/>
    <w:rsid w:val="00C51392"/>
    <w:rsid w:val="00C5164B"/>
    <w:rsid w:val="00C51798"/>
    <w:rsid w:val="00C51F70"/>
    <w:rsid w:val="00C52392"/>
    <w:rsid w:val="00C52683"/>
    <w:rsid w:val="00C526B3"/>
    <w:rsid w:val="00C52736"/>
    <w:rsid w:val="00C52901"/>
    <w:rsid w:val="00C5292A"/>
    <w:rsid w:val="00C52AB4"/>
    <w:rsid w:val="00C52B8E"/>
    <w:rsid w:val="00C52D2C"/>
    <w:rsid w:val="00C531D3"/>
    <w:rsid w:val="00C53BB3"/>
    <w:rsid w:val="00C540CF"/>
    <w:rsid w:val="00C5454E"/>
    <w:rsid w:val="00C551D2"/>
    <w:rsid w:val="00C5524E"/>
    <w:rsid w:val="00C5533D"/>
    <w:rsid w:val="00C55AC7"/>
    <w:rsid w:val="00C55B3C"/>
    <w:rsid w:val="00C55B86"/>
    <w:rsid w:val="00C55DAB"/>
    <w:rsid w:val="00C55F94"/>
    <w:rsid w:val="00C56274"/>
    <w:rsid w:val="00C56417"/>
    <w:rsid w:val="00C56477"/>
    <w:rsid w:val="00C565F5"/>
    <w:rsid w:val="00C5684B"/>
    <w:rsid w:val="00C569D5"/>
    <w:rsid w:val="00C56E67"/>
    <w:rsid w:val="00C573F8"/>
    <w:rsid w:val="00C57433"/>
    <w:rsid w:val="00C57443"/>
    <w:rsid w:val="00C575C9"/>
    <w:rsid w:val="00C57759"/>
    <w:rsid w:val="00C5776F"/>
    <w:rsid w:val="00C57923"/>
    <w:rsid w:val="00C579E0"/>
    <w:rsid w:val="00C57B70"/>
    <w:rsid w:val="00C57BE2"/>
    <w:rsid w:val="00C57C59"/>
    <w:rsid w:val="00C6012B"/>
    <w:rsid w:val="00C60165"/>
    <w:rsid w:val="00C6019E"/>
    <w:rsid w:val="00C60387"/>
    <w:rsid w:val="00C6080D"/>
    <w:rsid w:val="00C60857"/>
    <w:rsid w:val="00C60999"/>
    <w:rsid w:val="00C60A48"/>
    <w:rsid w:val="00C60A56"/>
    <w:rsid w:val="00C60AB2"/>
    <w:rsid w:val="00C61399"/>
    <w:rsid w:val="00C61BF6"/>
    <w:rsid w:val="00C61ECB"/>
    <w:rsid w:val="00C621E9"/>
    <w:rsid w:val="00C622B6"/>
    <w:rsid w:val="00C62500"/>
    <w:rsid w:val="00C6266E"/>
    <w:rsid w:val="00C62B5C"/>
    <w:rsid w:val="00C62BDE"/>
    <w:rsid w:val="00C631EB"/>
    <w:rsid w:val="00C6382F"/>
    <w:rsid w:val="00C63AFC"/>
    <w:rsid w:val="00C63B0C"/>
    <w:rsid w:val="00C63C9D"/>
    <w:rsid w:val="00C63CC5"/>
    <w:rsid w:val="00C640FE"/>
    <w:rsid w:val="00C6417A"/>
    <w:rsid w:val="00C642C7"/>
    <w:rsid w:val="00C6438E"/>
    <w:rsid w:val="00C64947"/>
    <w:rsid w:val="00C654C8"/>
    <w:rsid w:val="00C65857"/>
    <w:rsid w:val="00C659CA"/>
    <w:rsid w:val="00C65A41"/>
    <w:rsid w:val="00C667A8"/>
    <w:rsid w:val="00C669BA"/>
    <w:rsid w:val="00C66A2D"/>
    <w:rsid w:val="00C66C1D"/>
    <w:rsid w:val="00C67102"/>
    <w:rsid w:val="00C67227"/>
    <w:rsid w:val="00C67399"/>
    <w:rsid w:val="00C67477"/>
    <w:rsid w:val="00C6758C"/>
    <w:rsid w:val="00C67640"/>
    <w:rsid w:val="00C67A4B"/>
    <w:rsid w:val="00C67B76"/>
    <w:rsid w:val="00C70200"/>
    <w:rsid w:val="00C703B8"/>
    <w:rsid w:val="00C70458"/>
    <w:rsid w:val="00C716C4"/>
    <w:rsid w:val="00C71B08"/>
    <w:rsid w:val="00C7206C"/>
    <w:rsid w:val="00C72076"/>
    <w:rsid w:val="00C72390"/>
    <w:rsid w:val="00C725AE"/>
    <w:rsid w:val="00C726EC"/>
    <w:rsid w:val="00C7271F"/>
    <w:rsid w:val="00C727E4"/>
    <w:rsid w:val="00C72E53"/>
    <w:rsid w:val="00C72F21"/>
    <w:rsid w:val="00C72F5E"/>
    <w:rsid w:val="00C730AB"/>
    <w:rsid w:val="00C731E8"/>
    <w:rsid w:val="00C73219"/>
    <w:rsid w:val="00C736D4"/>
    <w:rsid w:val="00C73E96"/>
    <w:rsid w:val="00C740E1"/>
    <w:rsid w:val="00C74742"/>
    <w:rsid w:val="00C74974"/>
    <w:rsid w:val="00C74A56"/>
    <w:rsid w:val="00C74D0B"/>
    <w:rsid w:val="00C74DBE"/>
    <w:rsid w:val="00C750EE"/>
    <w:rsid w:val="00C75115"/>
    <w:rsid w:val="00C752DF"/>
    <w:rsid w:val="00C754BF"/>
    <w:rsid w:val="00C755C2"/>
    <w:rsid w:val="00C75A3C"/>
    <w:rsid w:val="00C75F46"/>
    <w:rsid w:val="00C76176"/>
    <w:rsid w:val="00C76265"/>
    <w:rsid w:val="00C762DF"/>
    <w:rsid w:val="00C765AB"/>
    <w:rsid w:val="00C766A7"/>
    <w:rsid w:val="00C767F4"/>
    <w:rsid w:val="00C76D67"/>
    <w:rsid w:val="00C76E40"/>
    <w:rsid w:val="00C76EA3"/>
    <w:rsid w:val="00C76FC0"/>
    <w:rsid w:val="00C776FA"/>
    <w:rsid w:val="00C778BC"/>
    <w:rsid w:val="00C77A01"/>
    <w:rsid w:val="00C77B31"/>
    <w:rsid w:val="00C77CB1"/>
    <w:rsid w:val="00C77CCF"/>
    <w:rsid w:val="00C8014E"/>
    <w:rsid w:val="00C801C9"/>
    <w:rsid w:val="00C803A8"/>
    <w:rsid w:val="00C80C5D"/>
    <w:rsid w:val="00C80D77"/>
    <w:rsid w:val="00C810B6"/>
    <w:rsid w:val="00C8132C"/>
    <w:rsid w:val="00C81371"/>
    <w:rsid w:val="00C8202D"/>
    <w:rsid w:val="00C82347"/>
    <w:rsid w:val="00C82352"/>
    <w:rsid w:val="00C82354"/>
    <w:rsid w:val="00C824A6"/>
    <w:rsid w:val="00C82634"/>
    <w:rsid w:val="00C8277D"/>
    <w:rsid w:val="00C8288F"/>
    <w:rsid w:val="00C82938"/>
    <w:rsid w:val="00C82CBE"/>
    <w:rsid w:val="00C82EEF"/>
    <w:rsid w:val="00C82F90"/>
    <w:rsid w:val="00C82F9E"/>
    <w:rsid w:val="00C83288"/>
    <w:rsid w:val="00C834B8"/>
    <w:rsid w:val="00C838B8"/>
    <w:rsid w:val="00C8395B"/>
    <w:rsid w:val="00C83A4C"/>
    <w:rsid w:val="00C83B62"/>
    <w:rsid w:val="00C83C45"/>
    <w:rsid w:val="00C83CEB"/>
    <w:rsid w:val="00C84039"/>
    <w:rsid w:val="00C8404E"/>
    <w:rsid w:val="00C844A6"/>
    <w:rsid w:val="00C84535"/>
    <w:rsid w:val="00C848BB"/>
    <w:rsid w:val="00C84AFF"/>
    <w:rsid w:val="00C84C15"/>
    <w:rsid w:val="00C84C4C"/>
    <w:rsid w:val="00C84E58"/>
    <w:rsid w:val="00C85031"/>
    <w:rsid w:val="00C850A2"/>
    <w:rsid w:val="00C853B6"/>
    <w:rsid w:val="00C854A2"/>
    <w:rsid w:val="00C857B7"/>
    <w:rsid w:val="00C85B49"/>
    <w:rsid w:val="00C85EF0"/>
    <w:rsid w:val="00C862CD"/>
    <w:rsid w:val="00C86479"/>
    <w:rsid w:val="00C865C6"/>
    <w:rsid w:val="00C86E13"/>
    <w:rsid w:val="00C86E2B"/>
    <w:rsid w:val="00C86E9A"/>
    <w:rsid w:val="00C86EA4"/>
    <w:rsid w:val="00C86EF1"/>
    <w:rsid w:val="00C87490"/>
    <w:rsid w:val="00C87633"/>
    <w:rsid w:val="00C876FF"/>
    <w:rsid w:val="00C87B88"/>
    <w:rsid w:val="00C87BBE"/>
    <w:rsid w:val="00C87BD5"/>
    <w:rsid w:val="00C903B7"/>
    <w:rsid w:val="00C905A9"/>
    <w:rsid w:val="00C9067A"/>
    <w:rsid w:val="00C90854"/>
    <w:rsid w:val="00C90C71"/>
    <w:rsid w:val="00C90ED8"/>
    <w:rsid w:val="00C91073"/>
    <w:rsid w:val="00C91320"/>
    <w:rsid w:val="00C9170B"/>
    <w:rsid w:val="00C91A94"/>
    <w:rsid w:val="00C91AE7"/>
    <w:rsid w:val="00C91C55"/>
    <w:rsid w:val="00C91E2F"/>
    <w:rsid w:val="00C91E75"/>
    <w:rsid w:val="00C92038"/>
    <w:rsid w:val="00C921C9"/>
    <w:rsid w:val="00C9224D"/>
    <w:rsid w:val="00C9241C"/>
    <w:rsid w:val="00C925C6"/>
    <w:rsid w:val="00C9268B"/>
    <w:rsid w:val="00C92AB5"/>
    <w:rsid w:val="00C92B65"/>
    <w:rsid w:val="00C92C82"/>
    <w:rsid w:val="00C92D05"/>
    <w:rsid w:val="00C92DBA"/>
    <w:rsid w:val="00C932B1"/>
    <w:rsid w:val="00C9380F"/>
    <w:rsid w:val="00C9396F"/>
    <w:rsid w:val="00C940A5"/>
    <w:rsid w:val="00C94547"/>
    <w:rsid w:val="00C94C4E"/>
    <w:rsid w:val="00C94DAE"/>
    <w:rsid w:val="00C951E7"/>
    <w:rsid w:val="00C95621"/>
    <w:rsid w:val="00C959C3"/>
    <w:rsid w:val="00C95A1D"/>
    <w:rsid w:val="00C95B70"/>
    <w:rsid w:val="00C95C2A"/>
    <w:rsid w:val="00C95CDD"/>
    <w:rsid w:val="00C962F7"/>
    <w:rsid w:val="00C96516"/>
    <w:rsid w:val="00C96572"/>
    <w:rsid w:val="00C96738"/>
    <w:rsid w:val="00C96A3C"/>
    <w:rsid w:val="00C9735C"/>
    <w:rsid w:val="00C973BA"/>
    <w:rsid w:val="00C97761"/>
    <w:rsid w:val="00C97845"/>
    <w:rsid w:val="00C97C43"/>
    <w:rsid w:val="00C97FEE"/>
    <w:rsid w:val="00CA00CA"/>
    <w:rsid w:val="00CA03C3"/>
    <w:rsid w:val="00CA0E27"/>
    <w:rsid w:val="00CA10C6"/>
    <w:rsid w:val="00CA1552"/>
    <w:rsid w:val="00CA1728"/>
    <w:rsid w:val="00CA1955"/>
    <w:rsid w:val="00CA1C1B"/>
    <w:rsid w:val="00CA1D37"/>
    <w:rsid w:val="00CA1FFD"/>
    <w:rsid w:val="00CA2550"/>
    <w:rsid w:val="00CA265E"/>
    <w:rsid w:val="00CA282A"/>
    <w:rsid w:val="00CA296B"/>
    <w:rsid w:val="00CA2A87"/>
    <w:rsid w:val="00CA2CFC"/>
    <w:rsid w:val="00CA2E74"/>
    <w:rsid w:val="00CA330B"/>
    <w:rsid w:val="00CA3631"/>
    <w:rsid w:val="00CA3764"/>
    <w:rsid w:val="00CA3BF6"/>
    <w:rsid w:val="00CA4130"/>
    <w:rsid w:val="00CA461A"/>
    <w:rsid w:val="00CA4843"/>
    <w:rsid w:val="00CA48C9"/>
    <w:rsid w:val="00CA496E"/>
    <w:rsid w:val="00CA49BF"/>
    <w:rsid w:val="00CA4D39"/>
    <w:rsid w:val="00CA547A"/>
    <w:rsid w:val="00CA54C6"/>
    <w:rsid w:val="00CA5690"/>
    <w:rsid w:val="00CA5BCF"/>
    <w:rsid w:val="00CA6083"/>
    <w:rsid w:val="00CA6493"/>
    <w:rsid w:val="00CA687E"/>
    <w:rsid w:val="00CA6D0E"/>
    <w:rsid w:val="00CA7173"/>
    <w:rsid w:val="00CA723B"/>
    <w:rsid w:val="00CA7515"/>
    <w:rsid w:val="00CA7548"/>
    <w:rsid w:val="00CA7741"/>
    <w:rsid w:val="00CA7751"/>
    <w:rsid w:val="00CA7AC7"/>
    <w:rsid w:val="00CA7C16"/>
    <w:rsid w:val="00CA7CC1"/>
    <w:rsid w:val="00CB022B"/>
    <w:rsid w:val="00CB0A9D"/>
    <w:rsid w:val="00CB0DBC"/>
    <w:rsid w:val="00CB1288"/>
    <w:rsid w:val="00CB1B31"/>
    <w:rsid w:val="00CB1DDA"/>
    <w:rsid w:val="00CB1F46"/>
    <w:rsid w:val="00CB215E"/>
    <w:rsid w:val="00CB246F"/>
    <w:rsid w:val="00CB25A4"/>
    <w:rsid w:val="00CB26CB"/>
    <w:rsid w:val="00CB2DB9"/>
    <w:rsid w:val="00CB35DE"/>
    <w:rsid w:val="00CB392D"/>
    <w:rsid w:val="00CB3A26"/>
    <w:rsid w:val="00CB3C34"/>
    <w:rsid w:val="00CB3C3A"/>
    <w:rsid w:val="00CB3CFC"/>
    <w:rsid w:val="00CB3E0C"/>
    <w:rsid w:val="00CB3E95"/>
    <w:rsid w:val="00CB44AF"/>
    <w:rsid w:val="00CB44C0"/>
    <w:rsid w:val="00CB4710"/>
    <w:rsid w:val="00CB48D3"/>
    <w:rsid w:val="00CB499C"/>
    <w:rsid w:val="00CB4B1F"/>
    <w:rsid w:val="00CB4D27"/>
    <w:rsid w:val="00CB4FBF"/>
    <w:rsid w:val="00CB5032"/>
    <w:rsid w:val="00CB50EF"/>
    <w:rsid w:val="00CB5514"/>
    <w:rsid w:val="00CB562A"/>
    <w:rsid w:val="00CB573C"/>
    <w:rsid w:val="00CB57DA"/>
    <w:rsid w:val="00CB599F"/>
    <w:rsid w:val="00CB5EA9"/>
    <w:rsid w:val="00CB6546"/>
    <w:rsid w:val="00CB6BAD"/>
    <w:rsid w:val="00CB771C"/>
    <w:rsid w:val="00CB7930"/>
    <w:rsid w:val="00CB79B8"/>
    <w:rsid w:val="00CB7A51"/>
    <w:rsid w:val="00CC0083"/>
    <w:rsid w:val="00CC01CF"/>
    <w:rsid w:val="00CC0984"/>
    <w:rsid w:val="00CC0BE8"/>
    <w:rsid w:val="00CC0D4C"/>
    <w:rsid w:val="00CC124F"/>
    <w:rsid w:val="00CC1319"/>
    <w:rsid w:val="00CC1726"/>
    <w:rsid w:val="00CC1775"/>
    <w:rsid w:val="00CC1904"/>
    <w:rsid w:val="00CC1A3B"/>
    <w:rsid w:val="00CC1F81"/>
    <w:rsid w:val="00CC277F"/>
    <w:rsid w:val="00CC28B7"/>
    <w:rsid w:val="00CC2963"/>
    <w:rsid w:val="00CC296F"/>
    <w:rsid w:val="00CC2A9C"/>
    <w:rsid w:val="00CC2B18"/>
    <w:rsid w:val="00CC2CCC"/>
    <w:rsid w:val="00CC2E6C"/>
    <w:rsid w:val="00CC2EAC"/>
    <w:rsid w:val="00CC315B"/>
    <w:rsid w:val="00CC3457"/>
    <w:rsid w:val="00CC34B1"/>
    <w:rsid w:val="00CC372C"/>
    <w:rsid w:val="00CC3AF3"/>
    <w:rsid w:val="00CC3F15"/>
    <w:rsid w:val="00CC3FBB"/>
    <w:rsid w:val="00CC3FFE"/>
    <w:rsid w:val="00CC4021"/>
    <w:rsid w:val="00CC41B6"/>
    <w:rsid w:val="00CC459C"/>
    <w:rsid w:val="00CC45CC"/>
    <w:rsid w:val="00CC4813"/>
    <w:rsid w:val="00CC4994"/>
    <w:rsid w:val="00CC49CA"/>
    <w:rsid w:val="00CC4D32"/>
    <w:rsid w:val="00CC4F71"/>
    <w:rsid w:val="00CC5038"/>
    <w:rsid w:val="00CC55BB"/>
    <w:rsid w:val="00CC5BDB"/>
    <w:rsid w:val="00CC5C16"/>
    <w:rsid w:val="00CC5D68"/>
    <w:rsid w:val="00CC61A3"/>
    <w:rsid w:val="00CC64F1"/>
    <w:rsid w:val="00CC6659"/>
    <w:rsid w:val="00CC67CA"/>
    <w:rsid w:val="00CC6A3C"/>
    <w:rsid w:val="00CC6AE2"/>
    <w:rsid w:val="00CC6B74"/>
    <w:rsid w:val="00CC6BEB"/>
    <w:rsid w:val="00CC72FE"/>
    <w:rsid w:val="00CC74E9"/>
    <w:rsid w:val="00CC75C3"/>
    <w:rsid w:val="00CC7F37"/>
    <w:rsid w:val="00CD02BF"/>
    <w:rsid w:val="00CD03FD"/>
    <w:rsid w:val="00CD0614"/>
    <w:rsid w:val="00CD06AC"/>
    <w:rsid w:val="00CD1034"/>
    <w:rsid w:val="00CD1A0E"/>
    <w:rsid w:val="00CD1B64"/>
    <w:rsid w:val="00CD20E5"/>
    <w:rsid w:val="00CD22FE"/>
    <w:rsid w:val="00CD28EC"/>
    <w:rsid w:val="00CD2A11"/>
    <w:rsid w:val="00CD2AE7"/>
    <w:rsid w:val="00CD2D14"/>
    <w:rsid w:val="00CD31F4"/>
    <w:rsid w:val="00CD31FE"/>
    <w:rsid w:val="00CD3233"/>
    <w:rsid w:val="00CD3619"/>
    <w:rsid w:val="00CD376F"/>
    <w:rsid w:val="00CD37C3"/>
    <w:rsid w:val="00CD38E4"/>
    <w:rsid w:val="00CD3A19"/>
    <w:rsid w:val="00CD3AE3"/>
    <w:rsid w:val="00CD3AF5"/>
    <w:rsid w:val="00CD3C2D"/>
    <w:rsid w:val="00CD417A"/>
    <w:rsid w:val="00CD4557"/>
    <w:rsid w:val="00CD461C"/>
    <w:rsid w:val="00CD46F1"/>
    <w:rsid w:val="00CD4704"/>
    <w:rsid w:val="00CD48A9"/>
    <w:rsid w:val="00CD48FB"/>
    <w:rsid w:val="00CD4B84"/>
    <w:rsid w:val="00CD4C6A"/>
    <w:rsid w:val="00CD502A"/>
    <w:rsid w:val="00CD51EB"/>
    <w:rsid w:val="00CD5C8B"/>
    <w:rsid w:val="00CD5E05"/>
    <w:rsid w:val="00CD6129"/>
    <w:rsid w:val="00CD6245"/>
    <w:rsid w:val="00CD6357"/>
    <w:rsid w:val="00CD63FD"/>
    <w:rsid w:val="00CD6CB5"/>
    <w:rsid w:val="00CD772D"/>
    <w:rsid w:val="00CD7C0C"/>
    <w:rsid w:val="00CD7F7B"/>
    <w:rsid w:val="00CE098B"/>
    <w:rsid w:val="00CE0EF0"/>
    <w:rsid w:val="00CE0F37"/>
    <w:rsid w:val="00CE1349"/>
    <w:rsid w:val="00CE16A9"/>
    <w:rsid w:val="00CE1869"/>
    <w:rsid w:val="00CE18A9"/>
    <w:rsid w:val="00CE1A72"/>
    <w:rsid w:val="00CE1BDC"/>
    <w:rsid w:val="00CE1D82"/>
    <w:rsid w:val="00CE29AA"/>
    <w:rsid w:val="00CE2F25"/>
    <w:rsid w:val="00CE2F46"/>
    <w:rsid w:val="00CE3221"/>
    <w:rsid w:val="00CE328F"/>
    <w:rsid w:val="00CE3423"/>
    <w:rsid w:val="00CE3875"/>
    <w:rsid w:val="00CE39CE"/>
    <w:rsid w:val="00CE3AAE"/>
    <w:rsid w:val="00CE3C74"/>
    <w:rsid w:val="00CE411D"/>
    <w:rsid w:val="00CE4140"/>
    <w:rsid w:val="00CE4173"/>
    <w:rsid w:val="00CE41CB"/>
    <w:rsid w:val="00CE441D"/>
    <w:rsid w:val="00CE461C"/>
    <w:rsid w:val="00CE46C8"/>
    <w:rsid w:val="00CE4856"/>
    <w:rsid w:val="00CE4895"/>
    <w:rsid w:val="00CE4E17"/>
    <w:rsid w:val="00CE545F"/>
    <w:rsid w:val="00CE54C4"/>
    <w:rsid w:val="00CE5657"/>
    <w:rsid w:val="00CE5990"/>
    <w:rsid w:val="00CE64C4"/>
    <w:rsid w:val="00CE689F"/>
    <w:rsid w:val="00CE6D9B"/>
    <w:rsid w:val="00CE70C1"/>
    <w:rsid w:val="00CE71B5"/>
    <w:rsid w:val="00CE7299"/>
    <w:rsid w:val="00CE7510"/>
    <w:rsid w:val="00CE7606"/>
    <w:rsid w:val="00CE7791"/>
    <w:rsid w:val="00CF00E2"/>
    <w:rsid w:val="00CF06B0"/>
    <w:rsid w:val="00CF0A75"/>
    <w:rsid w:val="00CF0B66"/>
    <w:rsid w:val="00CF1048"/>
    <w:rsid w:val="00CF1300"/>
    <w:rsid w:val="00CF131B"/>
    <w:rsid w:val="00CF1352"/>
    <w:rsid w:val="00CF1784"/>
    <w:rsid w:val="00CF1AA8"/>
    <w:rsid w:val="00CF1ABC"/>
    <w:rsid w:val="00CF1E1C"/>
    <w:rsid w:val="00CF1FCD"/>
    <w:rsid w:val="00CF205A"/>
    <w:rsid w:val="00CF2114"/>
    <w:rsid w:val="00CF22A2"/>
    <w:rsid w:val="00CF22DC"/>
    <w:rsid w:val="00CF2472"/>
    <w:rsid w:val="00CF2572"/>
    <w:rsid w:val="00CF2A0B"/>
    <w:rsid w:val="00CF2C88"/>
    <w:rsid w:val="00CF2E29"/>
    <w:rsid w:val="00CF2EFF"/>
    <w:rsid w:val="00CF2F5B"/>
    <w:rsid w:val="00CF2FC8"/>
    <w:rsid w:val="00CF3661"/>
    <w:rsid w:val="00CF36EC"/>
    <w:rsid w:val="00CF39BA"/>
    <w:rsid w:val="00CF3A69"/>
    <w:rsid w:val="00CF3F93"/>
    <w:rsid w:val="00CF4311"/>
    <w:rsid w:val="00CF48A9"/>
    <w:rsid w:val="00CF4908"/>
    <w:rsid w:val="00CF5473"/>
    <w:rsid w:val="00CF554B"/>
    <w:rsid w:val="00CF5903"/>
    <w:rsid w:val="00CF5B3D"/>
    <w:rsid w:val="00CF602E"/>
    <w:rsid w:val="00CF615B"/>
    <w:rsid w:val="00CF6440"/>
    <w:rsid w:val="00CF67A9"/>
    <w:rsid w:val="00CF6A20"/>
    <w:rsid w:val="00CF6E2E"/>
    <w:rsid w:val="00CF70E5"/>
    <w:rsid w:val="00CF7493"/>
    <w:rsid w:val="00CF7837"/>
    <w:rsid w:val="00CF798C"/>
    <w:rsid w:val="00CF79C0"/>
    <w:rsid w:val="00D00822"/>
    <w:rsid w:val="00D00AF6"/>
    <w:rsid w:val="00D00B16"/>
    <w:rsid w:val="00D00E54"/>
    <w:rsid w:val="00D00E76"/>
    <w:rsid w:val="00D00EAC"/>
    <w:rsid w:val="00D00F4D"/>
    <w:rsid w:val="00D01621"/>
    <w:rsid w:val="00D017DA"/>
    <w:rsid w:val="00D0244B"/>
    <w:rsid w:val="00D02589"/>
    <w:rsid w:val="00D029A4"/>
    <w:rsid w:val="00D02D98"/>
    <w:rsid w:val="00D02DA3"/>
    <w:rsid w:val="00D02E28"/>
    <w:rsid w:val="00D034E2"/>
    <w:rsid w:val="00D037BB"/>
    <w:rsid w:val="00D03EC7"/>
    <w:rsid w:val="00D040A9"/>
    <w:rsid w:val="00D040C9"/>
    <w:rsid w:val="00D044D1"/>
    <w:rsid w:val="00D0460D"/>
    <w:rsid w:val="00D049C6"/>
    <w:rsid w:val="00D04E5B"/>
    <w:rsid w:val="00D05433"/>
    <w:rsid w:val="00D05588"/>
    <w:rsid w:val="00D05B68"/>
    <w:rsid w:val="00D05FA8"/>
    <w:rsid w:val="00D0611F"/>
    <w:rsid w:val="00D06578"/>
    <w:rsid w:val="00D06694"/>
    <w:rsid w:val="00D06AA9"/>
    <w:rsid w:val="00D06E5C"/>
    <w:rsid w:val="00D07354"/>
    <w:rsid w:val="00D0750B"/>
    <w:rsid w:val="00D0778B"/>
    <w:rsid w:val="00D078B0"/>
    <w:rsid w:val="00D102F3"/>
    <w:rsid w:val="00D10E20"/>
    <w:rsid w:val="00D112BB"/>
    <w:rsid w:val="00D11372"/>
    <w:rsid w:val="00D1190B"/>
    <w:rsid w:val="00D11AB2"/>
    <w:rsid w:val="00D11BB6"/>
    <w:rsid w:val="00D11C1B"/>
    <w:rsid w:val="00D11D2F"/>
    <w:rsid w:val="00D11D77"/>
    <w:rsid w:val="00D11DAF"/>
    <w:rsid w:val="00D11E68"/>
    <w:rsid w:val="00D120FE"/>
    <w:rsid w:val="00D1217C"/>
    <w:rsid w:val="00D12881"/>
    <w:rsid w:val="00D12A4D"/>
    <w:rsid w:val="00D12EAA"/>
    <w:rsid w:val="00D132F9"/>
    <w:rsid w:val="00D133F5"/>
    <w:rsid w:val="00D13501"/>
    <w:rsid w:val="00D135A7"/>
    <w:rsid w:val="00D1370F"/>
    <w:rsid w:val="00D1398E"/>
    <w:rsid w:val="00D13A64"/>
    <w:rsid w:val="00D13DFF"/>
    <w:rsid w:val="00D13E2A"/>
    <w:rsid w:val="00D13EAD"/>
    <w:rsid w:val="00D14217"/>
    <w:rsid w:val="00D1461E"/>
    <w:rsid w:val="00D14D3A"/>
    <w:rsid w:val="00D14FD9"/>
    <w:rsid w:val="00D15072"/>
    <w:rsid w:val="00D153D1"/>
    <w:rsid w:val="00D15780"/>
    <w:rsid w:val="00D159D4"/>
    <w:rsid w:val="00D15B46"/>
    <w:rsid w:val="00D15B4D"/>
    <w:rsid w:val="00D162E9"/>
    <w:rsid w:val="00D16768"/>
    <w:rsid w:val="00D168DD"/>
    <w:rsid w:val="00D16B0F"/>
    <w:rsid w:val="00D16BE4"/>
    <w:rsid w:val="00D16F15"/>
    <w:rsid w:val="00D170A2"/>
    <w:rsid w:val="00D17317"/>
    <w:rsid w:val="00D175B9"/>
    <w:rsid w:val="00D2016A"/>
    <w:rsid w:val="00D20767"/>
    <w:rsid w:val="00D20D0C"/>
    <w:rsid w:val="00D21134"/>
    <w:rsid w:val="00D21158"/>
    <w:rsid w:val="00D212C4"/>
    <w:rsid w:val="00D2140D"/>
    <w:rsid w:val="00D21919"/>
    <w:rsid w:val="00D21B97"/>
    <w:rsid w:val="00D21BCF"/>
    <w:rsid w:val="00D224F5"/>
    <w:rsid w:val="00D22548"/>
    <w:rsid w:val="00D227CF"/>
    <w:rsid w:val="00D229A4"/>
    <w:rsid w:val="00D229B6"/>
    <w:rsid w:val="00D22C8F"/>
    <w:rsid w:val="00D231EE"/>
    <w:rsid w:val="00D232CD"/>
    <w:rsid w:val="00D23493"/>
    <w:rsid w:val="00D236AC"/>
    <w:rsid w:val="00D23998"/>
    <w:rsid w:val="00D23ED1"/>
    <w:rsid w:val="00D246D6"/>
    <w:rsid w:val="00D246EC"/>
    <w:rsid w:val="00D2482E"/>
    <w:rsid w:val="00D24AB6"/>
    <w:rsid w:val="00D24C12"/>
    <w:rsid w:val="00D24C7E"/>
    <w:rsid w:val="00D24E60"/>
    <w:rsid w:val="00D25321"/>
    <w:rsid w:val="00D25945"/>
    <w:rsid w:val="00D25B61"/>
    <w:rsid w:val="00D26044"/>
    <w:rsid w:val="00D2638B"/>
    <w:rsid w:val="00D26493"/>
    <w:rsid w:val="00D267C3"/>
    <w:rsid w:val="00D26C93"/>
    <w:rsid w:val="00D26EDE"/>
    <w:rsid w:val="00D2747D"/>
    <w:rsid w:val="00D27808"/>
    <w:rsid w:val="00D27BB2"/>
    <w:rsid w:val="00D27BF7"/>
    <w:rsid w:val="00D27D72"/>
    <w:rsid w:val="00D27FA2"/>
    <w:rsid w:val="00D27FED"/>
    <w:rsid w:val="00D30079"/>
    <w:rsid w:val="00D3013A"/>
    <w:rsid w:val="00D3043C"/>
    <w:rsid w:val="00D30753"/>
    <w:rsid w:val="00D30808"/>
    <w:rsid w:val="00D30EB9"/>
    <w:rsid w:val="00D311D1"/>
    <w:rsid w:val="00D3128C"/>
    <w:rsid w:val="00D315D4"/>
    <w:rsid w:val="00D317A2"/>
    <w:rsid w:val="00D317CF"/>
    <w:rsid w:val="00D31848"/>
    <w:rsid w:val="00D31A88"/>
    <w:rsid w:val="00D31D2D"/>
    <w:rsid w:val="00D31E20"/>
    <w:rsid w:val="00D3240B"/>
    <w:rsid w:val="00D32569"/>
    <w:rsid w:val="00D32EC9"/>
    <w:rsid w:val="00D32F6D"/>
    <w:rsid w:val="00D33113"/>
    <w:rsid w:val="00D33179"/>
    <w:rsid w:val="00D331CF"/>
    <w:rsid w:val="00D33285"/>
    <w:rsid w:val="00D33E56"/>
    <w:rsid w:val="00D33F59"/>
    <w:rsid w:val="00D342BF"/>
    <w:rsid w:val="00D34382"/>
    <w:rsid w:val="00D34718"/>
    <w:rsid w:val="00D347D4"/>
    <w:rsid w:val="00D34A53"/>
    <w:rsid w:val="00D34BBD"/>
    <w:rsid w:val="00D34F02"/>
    <w:rsid w:val="00D350FB"/>
    <w:rsid w:val="00D352FC"/>
    <w:rsid w:val="00D354FA"/>
    <w:rsid w:val="00D35AD5"/>
    <w:rsid w:val="00D35F25"/>
    <w:rsid w:val="00D35FE9"/>
    <w:rsid w:val="00D36334"/>
    <w:rsid w:val="00D3654C"/>
    <w:rsid w:val="00D368A4"/>
    <w:rsid w:val="00D36BB2"/>
    <w:rsid w:val="00D36BBC"/>
    <w:rsid w:val="00D36C41"/>
    <w:rsid w:val="00D36FE0"/>
    <w:rsid w:val="00D3718A"/>
    <w:rsid w:val="00D37D37"/>
    <w:rsid w:val="00D37EDC"/>
    <w:rsid w:val="00D4096A"/>
    <w:rsid w:val="00D40A20"/>
    <w:rsid w:val="00D40CFB"/>
    <w:rsid w:val="00D412B7"/>
    <w:rsid w:val="00D41583"/>
    <w:rsid w:val="00D417ED"/>
    <w:rsid w:val="00D41951"/>
    <w:rsid w:val="00D41A50"/>
    <w:rsid w:val="00D41D8F"/>
    <w:rsid w:val="00D4202B"/>
    <w:rsid w:val="00D42286"/>
    <w:rsid w:val="00D42432"/>
    <w:rsid w:val="00D42504"/>
    <w:rsid w:val="00D4267F"/>
    <w:rsid w:val="00D426F0"/>
    <w:rsid w:val="00D4290E"/>
    <w:rsid w:val="00D42AFA"/>
    <w:rsid w:val="00D42C40"/>
    <w:rsid w:val="00D4348A"/>
    <w:rsid w:val="00D43A7A"/>
    <w:rsid w:val="00D446F8"/>
    <w:rsid w:val="00D4481B"/>
    <w:rsid w:val="00D44841"/>
    <w:rsid w:val="00D44934"/>
    <w:rsid w:val="00D45006"/>
    <w:rsid w:val="00D45046"/>
    <w:rsid w:val="00D4543C"/>
    <w:rsid w:val="00D45450"/>
    <w:rsid w:val="00D45B2B"/>
    <w:rsid w:val="00D45B6D"/>
    <w:rsid w:val="00D4647D"/>
    <w:rsid w:val="00D467DC"/>
    <w:rsid w:val="00D4682D"/>
    <w:rsid w:val="00D46867"/>
    <w:rsid w:val="00D469A1"/>
    <w:rsid w:val="00D46A85"/>
    <w:rsid w:val="00D46B36"/>
    <w:rsid w:val="00D46E7C"/>
    <w:rsid w:val="00D46F77"/>
    <w:rsid w:val="00D470CD"/>
    <w:rsid w:val="00D470F6"/>
    <w:rsid w:val="00D47286"/>
    <w:rsid w:val="00D47288"/>
    <w:rsid w:val="00D4738F"/>
    <w:rsid w:val="00D47541"/>
    <w:rsid w:val="00D475F7"/>
    <w:rsid w:val="00D47C80"/>
    <w:rsid w:val="00D47EB3"/>
    <w:rsid w:val="00D505E2"/>
    <w:rsid w:val="00D5060F"/>
    <w:rsid w:val="00D50715"/>
    <w:rsid w:val="00D50EAE"/>
    <w:rsid w:val="00D51697"/>
    <w:rsid w:val="00D519CD"/>
    <w:rsid w:val="00D51B1F"/>
    <w:rsid w:val="00D51C39"/>
    <w:rsid w:val="00D52018"/>
    <w:rsid w:val="00D52201"/>
    <w:rsid w:val="00D525F2"/>
    <w:rsid w:val="00D52812"/>
    <w:rsid w:val="00D52898"/>
    <w:rsid w:val="00D5304C"/>
    <w:rsid w:val="00D5354B"/>
    <w:rsid w:val="00D53618"/>
    <w:rsid w:val="00D53B62"/>
    <w:rsid w:val="00D53C90"/>
    <w:rsid w:val="00D53DE6"/>
    <w:rsid w:val="00D53EF0"/>
    <w:rsid w:val="00D54034"/>
    <w:rsid w:val="00D541D3"/>
    <w:rsid w:val="00D545D0"/>
    <w:rsid w:val="00D547CD"/>
    <w:rsid w:val="00D548DD"/>
    <w:rsid w:val="00D54968"/>
    <w:rsid w:val="00D54B5B"/>
    <w:rsid w:val="00D54EC9"/>
    <w:rsid w:val="00D557FC"/>
    <w:rsid w:val="00D55861"/>
    <w:rsid w:val="00D559F9"/>
    <w:rsid w:val="00D55A94"/>
    <w:rsid w:val="00D55C75"/>
    <w:rsid w:val="00D55E1D"/>
    <w:rsid w:val="00D564E7"/>
    <w:rsid w:val="00D564EC"/>
    <w:rsid w:val="00D56618"/>
    <w:rsid w:val="00D56783"/>
    <w:rsid w:val="00D5687F"/>
    <w:rsid w:val="00D56CA6"/>
    <w:rsid w:val="00D57301"/>
    <w:rsid w:val="00D57793"/>
    <w:rsid w:val="00D5799F"/>
    <w:rsid w:val="00D579CB"/>
    <w:rsid w:val="00D57A72"/>
    <w:rsid w:val="00D57E89"/>
    <w:rsid w:val="00D60684"/>
    <w:rsid w:val="00D60A60"/>
    <w:rsid w:val="00D60B5A"/>
    <w:rsid w:val="00D60C03"/>
    <w:rsid w:val="00D61321"/>
    <w:rsid w:val="00D61355"/>
    <w:rsid w:val="00D61451"/>
    <w:rsid w:val="00D61BBA"/>
    <w:rsid w:val="00D61D7D"/>
    <w:rsid w:val="00D61DEC"/>
    <w:rsid w:val="00D62047"/>
    <w:rsid w:val="00D620F2"/>
    <w:rsid w:val="00D6237B"/>
    <w:rsid w:val="00D62448"/>
    <w:rsid w:val="00D629EF"/>
    <w:rsid w:val="00D62C6B"/>
    <w:rsid w:val="00D62E80"/>
    <w:rsid w:val="00D62EFE"/>
    <w:rsid w:val="00D62FDC"/>
    <w:rsid w:val="00D6336C"/>
    <w:rsid w:val="00D635A6"/>
    <w:rsid w:val="00D63673"/>
    <w:rsid w:val="00D63996"/>
    <w:rsid w:val="00D63C40"/>
    <w:rsid w:val="00D63E52"/>
    <w:rsid w:val="00D63F1B"/>
    <w:rsid w:val="00D63F1D"/>
    <w:rsid w:val="00D63FED"/>
    <w:rsid w:val="00D640B4"/>
    <w:rsid w:val="00D6417D"/>
    <w:rsid w:val="00D64902"/>
    <w:rsid w:val="00D64D60"/>
    <w:rsid w:val="00D65028"/>
    <w:rsid w:val="00D65301"/>
    <w:rsid w:val="00D654ED"/>
    <w:rsid w:val="00D65541"/>
    <w:rsid w:val="00D65600"/>
    <w:rsid w:val="00D65607"/>
    <w:rsid w:val="00D65B0D"/>
    <w:rsid w:val="00D65BF0"/>
    <w:rsid w:val="00D66394"/>
    <w:rsid w:val="00D664B5"/>
    <w:rsid w:val="00D66B68"/>
    <w:rsid w:val="00D67049"/>
    <w:rsid w:val="00D67246"/>
    <w:rsid w:val="00D67383"/>
    <w:rsid w:val="00D673BB"/>
    <w:rsid w:val="00D6759E"/>
    <w:rsid w:val="00D675C4"/>
    <w:rsid w:val="00D67637"/>
    <w:rsid w:val="00D67643"/>
    <w:rsid w:val="00D67699"/>
    <w:rsid w:val="00D67760"/>
    <w:rsid w:val="00D67859"/>
    <w:rsid w:val="00D67B5C"/>
    <w:rsid w:val="00D67BA2"/>
    <w:rsid w:val="00D67D13"/>
    <w:rsid w:val="00D67D19"/>
    <w:rsid w:val="00D701DF"/>
    <w:rsid w:val="00D70B44"/>
    <w:rsid w:val="00D70CA6"/>
    <w:rsid w:val="00D70E55"/>
    <w:rsid w:val="00D7154F"/>
    <w:rsid w:val="00D716EE"/>
    <w:rsid w:val="00D71B93"/>
    <w:rsid w:val="00D71D2A"/>
    <w:rsid w:val="00D7229C"/>
    <w:rsid w:val="00D72621"/>
    <w:rsid w:val="00D72A6F"/>
    <w:rsid w:val="00D72D3C"/>
    <w:rsid w:val="00D72F8F"/>
    <w:rsid w:val="00D7365B"/>
    <w:rsid w:val="00D73985"/>
    <w:rsid w:val="00D73A01"/>
    <w:rsid w:val="00D73A23"/>
    <w:rsid w:val="00D73B0F"/>
    <w:rsid w:val="00D73D83"/>
    <w:rsid w:val="00D74259"/>
    <w:rsid w:val="00D745FD"/>
    <w:rsid w:val="00D74995"/>
    <w:rsid w:val="00D74A0E"/>
    <w:rsid w:val="00D74B04"/>
    <w:rsid w:val="00D74CF0"/>
    <w:rsid w:val="00D74D0B"/>
    <w:rsid w:val="00D74D7B"/>
    <w:rsid w:val="00D74DC3"/>
    <w:rsid w:val="00D74E97"/>
    <w:rsid w:val="00D74ECA"/>
    <w:rsid w:val="00D75269"/>
    <w:rsid w:val="00D753DE"/>
    <w:rsid w:val="00D754EF"/>
    <w:rsid w:val="00D75AB9"/>
    <w:rsid w:val="00D760EE"/>
    <w:rsid w:val="00D76898"/>
    <w:rsid w:val="00D76B7C"/>
    <w:rsid w:val="00D76CA1"/>
    <w:rsid w:val="00D76F74"/>
    <w:rsid w:val="00D772BF"/>
    <w:rsid w:val="00D7752D"/>
    <w:rsid w:val="00D77925"/>
    <w:rsid w:val="00D77AE5"/>
    <w:rsid w:val="00D77C8A"/>
    <w:rsid w:val="00D7C2B1"/>
    <w:rsid w:val="00D8037A"/>
    <w:rsid w:val="00D803AF"/>
    <w:rsid w:val="00D8098F"/>
    <w:rsid w:val="00D80B8D"/>
    <w:rsid w:val="00D80D8B"/>
    <w:rsid w:val="00D80EAD"/>
    <w:rsid w:val="00D8157C"/>
    <w:rsid w:val="00D815D6"/>
    <w:rsid w:val="00D81637"/>
    <w:rsid w:val="00D81945"/>
    <w:rsid w:val="00D8196B"/>
    <w:rsid w:val="00D81F76"/>
    <w:rsid w:val="00D81FA8"/>
    <w:rsid w:val="00D8215C"/>
    <w:rsid w:val="00D8225B"/>
    <w:rsid w:val="00D82351"/>
    <w:rsid w:val="00D829EB"/>
    <w:rsid w:val="00D8393C"/>
    <w:rsid w:val="00D84177"/>
    <w:rsid w:val="00D841FD"/>
    <w:rsid w:val="00D84513"/>
    <w:rsid w:val="00D84798"/>
    <w:rsid w:val="00D84AE8"/>
    <w:rsid w:val="00D84F1D"/>
    <w:rsid w:val="00D85134"/>
    <w:rsid w:val="00D85875"/>
    <w:rsid w:val="00D85A02"/>
    <w:rsid w:val="00D85C6F"/>
    <w:rsid w:val="00D85D98"/>
    <w:rsid w:val="00D85F09"/>
    <w:rsid w:val="00D860CF"/>
    <w:rsid w:val="00D86485"/>
    <w:rsid w:val="00D865E8"/>
    <w:rsid w:val="00D8670E"/>
    <w:rsid w:val="00D86BE9"/>
    <w:rsid w:val="00D872A9"/>
    <w:rsid w:val="00D8739E"/>
    <w:rsid w:val="00D874AE"/>
    <w:rsid w:val="00D87B73"/>
    <w:rsid w:val="00D87BAF"/>
    <w:rsid w:val="00D9004B"/>
    <w:rsid w:val="00D901A9"/>
    <w:rsid w:val="00D902BC"/>
    <w:rsid w:val="00D904CE"/>
    <w:rsid w:val="00D904D2"/>
    <w:rsid w:val="00D90CCF"/>
    <w:rsid w:val="00D90D18"/>
    <w:rsid w:val="00D9107E"/>
    <w:rsid w:val="00D910A4"/>
    <w:rsid w:val="00D9121A"/>
    <w:rsid w:val="00D913EC"/>
    <w:rsid w:val="00D9152C"/>
    <w:rsid w:val="00D919FB"/>
    <w:rsid w:val="00D91C66"/>
    <w:rsid w:val="00D91DF8"/>
    <w:rsid w:val="00D92245"/>
    <w:rsid w:val="00D925ED"/>
    <w:rsid w:val="00D9289A"/>
    <w:rsid w:val="00D9289B"/>
    <w:rsid w:val="00D92AD6"/>
    <w:rsid w:val="00D92DAA"/>
    <w:rsid w:val="00D92F86"/>
    <w:rsid w:val="00D93104"/>
    <w:rsid w:val="00D9336C"/>
    <w:rsid w:val="00D936E4"/>
    <w:rsid w:val="00D93E6D"/>
    <w:rsid w:val="00D94322"/>
    <w:rsid w:val="00D945E9"/>
    <w:rsid w:val="00D9474E"/>
    <w:rsid w:val="00D9487B"/>
    <w:rsid w:val="00D94AE7"/>
    <w:rsid w:val="00D94B0A"/>
    <w:rsid w:val="00D94F21"/>
    <w:rsid w:val="00D94F93"/>
    <w:rsid w:val="00D94FC9"/>
    <w:rsid w:val="00D950B8"/>
    <w:rsid w:val="00D95113"/>
    <w:rsid w:val="00D95591"/>
    <w:rsid w:val="00D95B7D"/>
    <w:rsid w:val="00D95B8D"/>
    <w:rsid w:val="00D95C76"/>
    <w:rsid w:val="00D95F16"/>
    <w:rsid w:val="00D961A9"/>
    <w:rsid w:val="00D961E1"/>
    <w:rsid w:val="00D96290"/>
    <w:rsid w:val="00D962F8"/>
    <w:rsid w:val="00D964DB"/>
    <w:rsid w:val="00D965C7"/>
    <w:rsid w:val="00D967CB"/>
    <w:rsid w:val="00D96D38"/>
    <w:rsid w:val="00D96DC8"/>
    <w:rsid w:val="00D976BE"/>
    <w:rsid w:val="00D97714"/>
    <w:rsid w:val="00D977E1"/>
    <w:rsid w:val="00D97C40"/>
    <w:rsid w:val="00DA011C"/>
    <w:rsid w:val="00DA0330"/>
    <w:rsid w:val="00DA0920"/>
    <w:rsid w:val="00DA0930"/>
    <w:rsid w:val="00DA0A28"/>
    <w:rsid w:val="00DA0DF5"/>
    <w:rsid w:val="00DA0F4A"/>
    <w:rsid w:val="00DA1075"/>
    <w:rsid w:val="00DA133D"/>
    <w:rsid w:val="00DA149C"/>
    <w:rsid w:val="00DA1A1F"/>
    <w:rsid w:val="00DA208D"/>
    <w:rsid w:val="00DA21C0"/>
    <w:rsid w:val="00DA288D"/>
    <w:rsid w:val="00DA28A5"/>
    <w:rsid w:val="00DA2C52"/>
    <w:rsid w:val="00DA2CCC"/>
    <w:rsid w:val="00DA32C4"/>
    <w:rsid w:val="00DA3399"/>
    <w:rsid w:val="00DA3499"/>
    <w:rsid w:val="00DA37F2"/>
    <w:rsid w:val="00DA3A0B"/>
    <w:rsid w:val="00DA3D3F"/>
    <w:rsid w:val="00DA433F"/>
    <w:rsid w:val="00DA4344"/>
    <w:rsid w:val="00DA4541"/>
    <w:rsid w:val="00DA48F8"/>
    <w:rsid w:val="00DA4A90"/>
    <w:rsid w:val="00DA4C74"/>
    <w:rsid w:val="00DA4E39"/>
    <w:rsid w:val="00DA4EE8"/>
    <w:rsid w:val="00DA5071"/>
    <w:rsid w:val="00DA5229"/>
    <w:rsid w:val="00DA5A4D"/>
    <w:rsid w:val="00DA5DA3"/>
    <w:rsid w:val="00DA6200"/>
    <w:rsid w:val="00DA6226"/>
    <w:rsid w:val="00DA6305"/>
    <w:rsid w:val="00DA6510"/>
    <w:rsid w:val="00DA69F4"/>
    <w:rsid w:val="00DA6C48"/>
    <w:rsid w:val="00DA6C80"/>
    <w:rsid w:val="00DA6F7A"/>
    <w:rsid w:val="00DA7054"/>
    <w:rsid w:val="00DA70FF"/>
    <w:rsid w:val="00DA71B0"/>
    <w:rsid w:val="00DA71C7"/>
    <w:rsid w:val="00DA7241"/>
    <w:rsid w:val="00DA7305"/>
    <w:rsid w:val="00DA7648"/>
    <w:rsid w:val="00DA78E9"/>
    <w:rsid w:val="00DA7A32"/>
    <w:rsid w:val="00DB016C"/>
    <w:rsid w:val="00DB02C2"/>
    <w:rsid w:val="00DB032B"/>
    <w:rsid w:val="00DB05BF"/>
    <w:rsid w:val="00DB064D"/>
    <w:rsid w:val="00DB09D5"/>
    <w:rsid w:val="00DB0B9E"/>
    <w:rsid w:val="00DB0DE1"/>
    <w:rsid w:val="00DB0FFC"/>
    <w:rsid w:val="00DB1137"/>
    <w:rsid w:val="00DB128A"/>
    <w:rsid w:val="00DB1505"/>
    <w:rsid w:val="00DB1625"/>
    <w:rsid w:val="00DB18CD"/>
    <w:rsid w:val="00DB23B7"/>
    <w:rsid w:val="00DB3004"/>
    <w:rsid w:val="00DB3187"/>
    <w:rsid w:val="00DB3783"/>
    <w:rsid w:val="00DB3815"/>
    <w:rsid w:val="00DB3A2E"/>
    <w:rsid w:val="00DB3C1B"/>
    <w:rsid w:val="00DB4376"/>
    <w:rsid w:val="00DB47F5"/>
    <w:rsid w:val="00DB4ADE"/>
    <w:rsid w:val="00DB4C3C"/>
    <w:rsid w:val="00DB4E6E"/>
    <w:rsid w:val="00DB50C8"/>
    <w:rsid w:val="00DB542C"/>
    <w:rsid w:val="00DB591C"/>
    <w:rsid w:val="00DB5AC9"/>
    <w:rsid w:val="00DB5B47"/>
    <w:rsid w:val="00DB5BF2"/>
    <w:rsid w:val="00DB5D49"/>
    <w:rsid w:val="00DB63A5"/>
    <w:rsid w:val="00DB63BF"/>
    <w:rsid w:val="00DB65F1"/>
    <w:rsid w:val="00DB6638"/>
    <w:rsid w:val="00DB677B"/>
    <w:rsid w:val="00DB6B18"/>
    <w:rsid w:val="00DB6C9E"/>
    <w:rsid w:val="00DB6DBE"/>
    <w:rsid w:val="00DB6FB4"/>
    <w:rsid w:val="00DB71E6"/>
    <w:rsid w:val="00DB775E"/>
    <w:rsid w:val="00DB77E1"/>
    <w:rsid w:val="00DB7A3A"/>
    <w:rsid w:val="00DB7ACD"/>
    <w:rsid w:val="00DB7BAD"/>
    <w:rsid w:val="00DB7E33"/>
    <w:rsid w:val="00DC023C"/>
    <w:rsid w:val="00DC14F8"/>
    <w:rsid w:val="00DC1C6E"/>
    <w:rsid w:val="00DC1D98"/>
    <w:rsid w:val="00DC2323"/>
    <w:rsid w:val="00DC24AA"/>
    <w:rsid w:val="00DC24C0"/>
    <w:rsid w:val="00DC299F"/>
    <w:rsid w:val="00DC2C67"/>
    <w:rsid w:val="00DC31C8"/>
    <w:rsid w:val="00DC378C"/>
    <w:rsid w:val="00DC3860"/>
    <w:rsid w:val="00DC3888"/>
    <w:rsid w:val="00DC3A99"/>
    <w:rsid w:val="00DC3C87"/>
    <w:rsid w:val="00DC4143"/>
    <w:rsid w:val="00DC46C0"/>
    <w:rsid w:val="00DC4883"/>
    <w:rsid w:val="00DC4A63"/>
    <w:rsid w:val="00DC4D7C"/>
    <w:rsid w:val="00DC5248"/>
    <w:rsid w:val="00DC5474"/>
    <w:rsid w:val="00DC54D0"/>
    <w:rsid w:val="00DC5EC0"/>
    <w:rsid w:val="00DC5F77"/>
    <w:rsid w:val="00DC600D"/>
    <w:rsid w:val="00DC648B"/>
    <w:rsid w:val="00DC66C1"/>
    <w:rsid w:val="00DC679B"/>
    <w:rsid w:val="00DC698C"/>
    <w:rsid w:val="00DC6A32"/>
    <w:rsid w:val="00DC6AA7"/>
    <w:rsid w:val="00DC6D41"/>
    <w:rsid w:val="00DC7768"/>
    <w:rsid w:val="00DC7938"/>
    <w:rsid w:val="00DC7939"/>
    <w:rsid w:val="00DC7E37"/>
    <w:rsid w:val="00DC7E90"/>
    <w:rsid w:val="00DD007C"/>
    <w:rsid w:val="00DD048B"/>
    <w:rsid w:val="00DD0626"/>
    <w:rsid w:val="00DD08D3"/>
    <w:rsid w:val="00DD0B45"/>
    <w:rsid w:val="00DD0FB5"/>
    <w:rsid w:val="00DD0FD4"/>
    <w:rsid w:val="00DD16B9"/>
    <w:rsid w:val="00DD1739"/>
    <w:rsid w:val="00DD1B77"/>
    <w:rsid w:val="00DD1E01"/>
    <w:rsid w:val="00DD2200"/>
    <w:rsid w:val="00DD22C6"/>
    <w:rsid w:val="00DD26D4"/>
    <w:rsid w:val="00DD2BEF"/>
    <w:rsid w:val="00DD2FAB"/>
    <w:rsid w:val="00DD30B6"/>
    <w:rsid w:val="00DD3125"/>
    <w:rsid w:val="00DD31BF"/>
    <w:rsid w:val="00DD3DAA"/>
    <w:rsid w:val="00DD3DE4"/>
    <w:rsid w:val="00DD3ED9"/>
    <w:rsid w:val="00DD446C"/>
    <w:rsid w:val="00DD4544"/>
    <w:rsid w:val="00DD48EB"/>
    <w:rsid w:val="00DD4B2F"/>
    <w:rsid w:val="00DD4CFC"/>
    <w:rsid w:val="00DD4D00"/>
    <w:rsid w:val="00DD4FC9"/>
    <w:rsid w:val="00DD5218"/>
    <w:rsid w:val="00DD52D5"/>
    <w:rsid w:val="00DD5679"/>
    <w:rsid w:val="00DD571F"/>
    <w:rsid w:val="00DD5CCE"/>
    <w:rsid w:val="00DD6185"/>
    <w:rsid w:val="00DD6B7A"/>
    <w:rsid w:val="00DD6F08"/>
    <w:rsid w:val="00DD7072"/>
    <w:rsid w:val="00DD74C3"/>
    <w:rsid w:val="00DD7684"/>
    <w:rsid w:val="00DD7A37"/>
    <w:rsid w:val="00DD7C92"/>
    <w:rsid w:val="00DD7DBF"/>
    <w:rsid w:val="00DD7FB0"/>
    <w:rsid w:val="00DE0307"/>
    <w:rsid w:val="00DE068C"/>
    <w:rsid w:val="00DE0B9C"/>
    <w:rsid w:val="00DE0BCD"/>
    <w:rsid w:val="00DE1248"/>
    <w:rsid w:val="00DE1701"/>
    <w:rsid w:val="00DE19E4"/>
    <w:rsid w:val="00DE1C94"/>
    <w:rsid w:val="00DE2506"/>
    <w:rsid w:val="00DE26F3"/>
    <w:rsid w:val="00DE27F1"/>
    <w:rsid w:val="00DE28CB"/>
    <w:rsid w:val="00DE3048"/>
    <w:rsid w:val="00DE34BF"/>
    <w:rsid w:val="00DE3AD3"/>
    <w:rsid w:val="00DE3ADF"/>
    <w:rsid w:val="00DE430B"/>
    <w:rsid w:val="00DE432E"/>
    <w:rsid w:val="00DE4645"/>
    <w:rsid w:val="00DE4B3C"/>
    <w:rsid w:val="00DE4D60"/>
    <w:rsid w:val="00DE50D4"/>
    <w:rsid w:val="00DE5103"/>
    <w:rsid w:val="00DE5456"/>
    <w:rsid w:val="00DE56AC"/>
    <w:rsid w:val="00DE57BE"/>
    <w:rsid w:val="00DE5A7A"/>
    <w:rsid w:val="00DE5ADA"/>
    <w:rsid w:val="00DE5E17"/>
    <w:rsid w:val="00DE6658"/>
    <w:rsid w:val="00DE67B4"/>
    <w:rsid w:val="00DE68FB"/>
    <w:rsid w:val="00DE6B23"/>
    <w:rsid w:val="00DE6EC9"/>
    <w:rsid w:val="00DE713C"/>
    <w:rsid w:val="00DE7938"/>
    <w:rsid w:val="00DE7972"/>
    <w:rsid w:val="00DE7D4D"/>
    <w:rsid w:val="00DE7E33"/>
    <w:rsid w:val="00DF01F2"/>
    <w:rsid w:val="00DF026F"/>
    <w:rsid w:val="00DF03A4"/>
    <w:rsid w:val="00DF0855"/>
    <w:rsid w:val="00DF1066"/>
    <w:rsid w:val="00DF1458"/>
    <w:rsid w:val="00DF15FA"/>
    <w:rsid w:val="00DF19AB"/>
    <w:rsid w:val="00DF1A4D"/>
    <w:rsid w:val="00DF1C79"/>
    <w:rsid w:val="00DF1CB6"/>
    <w:rsid w:val="00DF1D21"/>
    <w:rsid w:val="00DF238D"/>
    <w:rsid w:val="00DF2450"/>
    <w:rsid w:val="00DF268C"/>
    <w:rsid w:val="00DF2887"/>
    <w:rsid w:val="00DF28A6"/>
    <w:rsid w:val="00DF32BD"/>
    <w:rsid w:val="00DF3B7F"/>
    <w:rsid w:val="00DF4197"/>
    <w:rsid w:val="00DF44A8"/>
    <w:rsid w:val="00DF4E67"/>
    <w:rsid w:val="00DF4F01"/>
    <w:rsid w:val="00DF5051"/>
    <w:rsid w:val="00DF5169"/>
    <w:rsid w:val="00DF53AC"/>
    <w:rsid w:val="00DF5416"/>
    <w:rsid w:val="00DF5440"/>
    <w:rsid w:val="00DF54B6"/>
    <w:rsid w:val="00DF5770"/>
    <w:rsid w:val="00DF5C32"/>
    <w:rsid w:val="00DF5C60"/>
    <w:rsid w:val="00DF66B3"/>
    <w:rsid w:val="00DF6894"/>
    <w:rsid w:val="00DF6B13"/>
    <w:rsid w:val="00DF6C17"/>
    <w:rsid w:val="00DF6D02"/>
    <w:rsid w:val="00DF75F3"/>
    <w:rsid w:val="00DF7831"/>
    <w:rsid w:val="00DF7935"/>
    <w:rsid w:val="00DF7961"/>
    <w:rsid w:val="00DF7A67"/>
    <w:rsid w:val="00DF7C16"/>
    <w:rsid w:val="00DF7C3B"/>
    <w:rsid w:val="00DF7CCB"/>
    <w:rsid w:val="00DF7E54"/>
    <w:rsid w:val="00E002F2"/>
    <w:rsid w:val="00E00619"/>
    <w:rsid w:val="00E00B0A"/>
    <w:rsid w:val="00E00DF3"/>
    <w:rsid w:val="00E011D7"/>
    <w:rsid w:val="00E012CA"/>
    <w:rsid w:val="00E01499"/>
    <w:rsid w:val="00E016FF"/>
    <w:rsid w:val="00E01871"/>
    <w:rsid w:val="00E019DD"/>
    <w:rsid w:val="00E01ECB"/>
    <w:rsid w:val="00E01ED8"/>
    <w:rsid w:val="00E02586"/>
    <w:rsid w:val="00E02C12"/>
    <w:rsid w:val="00E02C64"/>
    <w:rsid w:val="00E0325F"/>
    <w:rsid w:val="00E03607"/>
    <w:rsid w:val="00E0382E"/>
    <w:rsid w:val="00E03E48"/>
    <w:rsid w:val="00E04369"/>
    <w:rsid w:val="00E044E1"/>
    <w:rsid w:val="00E0452B"/>
    <w:rsid w:val="00E0461C"/>
    <w:rsid w:val="00E04678"/>
    <w:rsid w:val="00E04758"/>
    <w:rsid w:val="00E049FF"/>
    <w:rsid w:val="00E04A0E"/>
    <w:rsid w:val="00E04C4A"/>
    <w:rsid w:val="00E0507B"/>
    <w:rsid w:val="00E05439"/>
    <w:rsid w:val="00E054E0"/>
    <w:rsid w:val="00E055EE"/>
    <w:rsid w:val="00E0574F"/>
    <w:rsid w:val="00E05C7C"/>
    <w:rsid w:val="00E05D31"/>
    <w:rsid w:val="00E05F84"/>
    <w:rsid w:val="00E0692E"/>
    <w:rsid w:val="00E06B05"/>
    <w:rsid w:val="00E06F60"/>
    <w:rsid w:val="00E06F8D"/>
    <w:rsid w:val="00E0719A"/>
    <w:rsid w:val="00E10335"/>
    <w:rsid w:val="00E1044D"/>
    <w:rsid w:val="00E106FA"/>
    <w:rsid w:val="00E108A9"/>
    <w:rsid w:val="00E10AAC"/>
    <w:rsid w:val="00E10BDD"/>
    <w:rsid w:val="00E10FDB"/>
    <w:rsid w:val="00E1115C"/>
    <w:rsid w:val="00E112CC"/>
    <w:rsid w:val="00E1150F"/>
    <w:rsid w:val="00E11514"/>
    <w:rsid w:val="00E11730"/>
    <w:rsid w:val="00E11C5F"/>
    <w:rsid w:val="00E11E72"/>
    <w:rsid w:val="00E125B2"/>
    <w:rsid w:val="00E125CD"/>
    <w:rsid w:val="00E126F8"/>
    <w:rsid w:val="00E127CA"/>
    <w:rsid w:val="00E1285A"/>
    <w:rsid w:val="00E12932"/>
    <w:rsid w:val="00E12C1D"/>
    <w:rsid w:val="00E12D66"/>
    <w:rsid w:val="00E12E8D"/>
    <w:rsid w:val="00E131F4"/>
    <w:rsid w:val="00E13509"/>
    <w:rsid w:val="00E135B0"/>
    <w:rsid w:val="00E139E5"/>
    <w:rsid w:val="00E141F8"/>
    <w:rsid w:val="00E146F5"/>
    <w:rsid w:val="00E14AA1"/>
    <w:rsid w:val="00E14BBC"/>
    <w:rsid w:val="00E14E3A"/>
    <w:rsid w:val="00E14FE3"/>
    <w:rsid w:val="00E15132"/>
    <w:rsid w:val="00E15206"/>
    <w:rsid w:val="00E15376"/>
    <w:rsid w:val="00E15588"/>
    <w:rsid w:val="00E15DDA"/>
    <w:rsid w:val="00E15E3E"/>
    <w:rsid w:val="00E16117"/>
    <w:rsid w:val="00E16200"/>
    <w:rsid w:val="00E16CE5"/>
    <w:rsid w:val="00E17290"/>
    <w:rsid w:val="00E17333"/>
    <w:rsid w:val="00E1740E"/>
    <w:rsid w:val="00E175E4"/>
    <w:rsid w:val="00E1767C"/>
    <w:rsid w:val="00E1780E"/>
    <w:rsid w:val="00E1792A"/>
    <w:rsid w:val="00E17A8D"/>
    <w:rsid w:val="00E17C38"/>
    <w:rsid w:val="00E17D32"/>
    <w:rsid w:val="00E17E47"/>
    <w:rsid w:val="00E17F2E"/>
    <w:rsid w:val="00E17FF5"/>
    <w:rsid w:val="00E2001D"/>
    <w:rsid w:val="00E202B7"/>
    <w:rsid w:val="00E203CB"/>
    <w:rsid w:val="00E206C8"/>
    <w:rsid w:val="00E209CD"/>
    <w:rsid w:val="00E20A38"/>
    <w:rsid w:val="00E20AB6"/>
    <w:rsid w:val="00E20EA5"/>
    <w:rsid w:val="00E20FE4"/>
    <w:rsid w:val="00E21AB1"/>
    <w:rsid w:val="00E21BF1"/>
    <w:rsid w:val="00E21D6D"/>
    <w:rsid w:val="00E2209C"/>
    <w:rsid w:val="00E22131"/>
    <w:rsid w:val="00E227A2"/>
    <w:rsid w:val="00E228B5"/>
    <w:rsid w:val="00E22A0C"/>
    <w:rsid w:val="00E22A2F"/>
    <w:rsid w:val="00E22A5C"/>
    <w:rsid w:val="00E22C14"/>
    <w:rsid w:val="00E22CEE"/>
    <w:rsid w:val="00E230C7"/>
    <w:rsid w:val="00E233FF"/>
    <w:rsid w:val="00E235E4"/>
    <w:rsid w:val="00E23621"/>
    <w:rsid w:val="00E23AEA"/>
    <w:rsid w:val="00E23D3C"/>
    <w:rsid w:val="00E24092"/>
    <w:rsid w:val="00E24139"/>
    <w:rsid w:val="00E24217"/>
    <w:rsid w:val="00E24227"/>
    <w:rsid w:val="00E2439C"/>
    <w:rsid w:val="00E24520"/>
    <w:rsid w:val="00E24579"/>
    <w:rsid w:val="00E249FC"/>
    <w:rsid w:val="00E24BA2"/>
    <w:rsid w:val="00E24C37"/>
    <w:rsid w:val="00E252FC"/>
    <w:rsid w:val="00E2552D"/>
    <w:rsid w:val="00E25654"/>
    <w:rsid w:val="00E2566C"/>
    <w:rsid w:val="00E25821"/>
    <w:rsid w:val="00E258EA"/>
    <w:rsid w:val="00E26107"/>
    <w:rsid w:val="00E264A4"/>
    <w:rsid w:val="00E26918"/>
    <w:rsid w:val="00E26DEE"/>
    <w:rsid w:val="00E27134"/>
    <w:rsid w:val="00E278BC"/>
    <w:rsid w:val="00E278D0"/>
    <w:rsid w:val="00E27C38"/>
    <w:rsid w:val="00E27C6B"/>
    <w:rsid w:val="00E3015C"/>
    <w:rsid w:val="00E305CF"/>
    <w:rsid w:val="00E30A62"/>
    <w:rsid w:val="00E30C1C"/>
    <w:rsid w:val="00E30D10"/>
    <w:rsid w:val="00E30D59"/>
    <w:rsid w:val="00E30D7F"/>
    <w:rsid w:val="00E30E46"/>
    <w:rsid w:val="00E30F9D"/>
    <w:rsid w:val="00E315F2"/>
    <w:rsid w:val="00E3168D"/>
    <w:rsid w:val="00E316AB"/>
    <w:rsid w:val="00E31AB4"/>
    <w:rsid w:val="00E31B6F"/>
    <w:rsid w:val="00E31EB3"/>
    <w:rsid w:val="00E31F47"/>
    <w:rsid w:val="00E31FBA"/>
    <w:rsid w:val="00E322A4"/>
    <w:rsid w:val="00E32512"/>
    <w:rsid w:val="00E32A71"/>
    <w:rsid w:val="00E32C88"/>
    <w:rsid w:val="00E32D95"/>
    <w:rsid w:val="00E32E3C"/>
    <w:rsid w:val="00E32F71"/>
    <w:rsid w:val="00E337E4"/>
    <w:rsid w:val="00E33844"/>
    <w:rsid w:val="00E3386E"/>
    <w:rsid w:val="00E33944"/>
    <w:rsid w:val="00E33A4C"/>
    <w:rsid w:val="00E33CA3"/>
    <w:rsid w:val="00E3406A"/>
    <w:rsid w:val="00E34533"/>
    <w:rsid w:val="00E34BAE"/>
    <w:rsid w:val="00E34C61"/>
    <w:rsid w:val="00E34C6D"/>
    <w:rsid w:val="00E3526D"/>
    <w:rsid w:val="00E355CD"/>
    <w:rsid w:val="00E35698"/>
    <w:rsid w:val="00E359C9"/>
    <w:rsid w:val="00E35BA1"/>
    <w:rsid w:val="00E35BB3"/>
    <w:rsid w:val="00E35D61"/>
    <w:rsid w:val="00E361DF"/>
    <w:rsid w:val="00E3671B"/>
    <w:rsid w:val="00E36B05"/>
    <w:rsid w:val="00E36B35"/>
    <w:rsid w:val="00E36E6E"/>
    <w:rsid w:val="00E372A6"/>
    <w:rsid w:val="00E374D4"/>
    <w:rsid w:val="00E40054"/>
    <w:rsid w:val="00E4015D"/>
    <w:rsid w:val="00E409BF"/>
    <w:rsid w:val="00E40B1D"/>
    <w:rsid w:val="00E40F12"/>
    <w:rsid w:val="00E410D0"/>
    <w:rsid w:val="00E4146C"/>
    <w:rsid w:val="00E416E9"/>
    <w:rsid w:val="00E41706"/>
    <w:rsid w:val="00E41CA3"/>
    <w:rsid w:val="00E41D02"/>
    <w:rsid w:val="00E41EAE"/>
    <w:rsid w:val="00E422E4"/>
    <w:rsid w:val="00E42540"/>
    <w:rsid w:val="00E425B7"/>
    <w:rsid w:val="00E42747"/>
    <w:rsid w:val="00E427D6"/>
    <w:rsid w:val="00E42A82"/>
    <w:rsid w:val="00E42D5D"/>
    <w:rsid w:val="00E43011"/>
    <w:rsid w:val="00E432A6"/>
    <w:rsid w:val="00E432EA"/>
    <w:rsid w:val="00E43554"/>
    <w:rsid w:val="00E4362B"/>
    <w:rsid w:val="00E438B4"/>
    <w:rsid w:val="00E4393C"/>
    <w:rsid w:val="00E43C29"/>
    <w:rsid w:val="00E43EFB"/>
    <w:rsid w:val="00E442F5"/>
    <w:rsid w:val="00E445CF"/>
    <w:rsid w:val="00E448B5"/>
    <w:rsid w:val="00E4493A"/>
    <w:rsid w:val="00E44C5B"/>
    <w:rsid w:val="00E4523C"/>
    <w:rsid w:val="00E452F6"/>
    <w:rsid w:val="00E454B8"/>
    <w:rsid w:val="00E45677"/>
    <w:rsid w:val="00E4589F"/>
    <w:rsid w:val="00E458F9"/>
    <w:rsid w:val="00E45A19"/>
    <w:rsid w:val="00E45CC1"/>
    <w:rsid w:val="00E45E8B"/>
    <w:rsid w:val="00E45EB2"/>
    <w:rsid w:val="00E45EC5"/>
    <w:rsid w:val="00E46232"/>
    <w:rsid w:val="00E46732"/>
    <w:rsid w:val="00E46935"/>
    <w:rsid w:val="00E46968"/>
    <w:rsid w:val="00E46A57"/>
    <w:rsid w:val="00E46D90"/>
    <w:rsid w:val="00E46E11"/>
    <w:rsid w:val="00E470AC"/>
    <w:rsid w:val="00E47676"/>
    <w:rsid w:val="00E47AAD"/>
    <w:rsid w:val="00E50A7D"/>
    <w:rsid w:val="00E50C94"/>
    <w:rsid w:val="00E50E15"/>
    <w:rsid w:val="00E51225"/>
    <w:rsid w:val="00E517BE"/>
    <w:rsid w:val="00E517E3"/>
    <w:rsid w:val="00E51837"/>
    <w:rsid w:val="00E51C47"/>
    <w:rsid w:val="00E51C86"/>
    <w:rsid w:val="00E51CB2"/>
    <w:rsid w:val="00E51EFB"/>
    <w:rsid w:val="00E521E0"/>
    <w:rsid w:val="00E52976"/>
    <w:rsid w:val="00E52BBE"/>
    <w:rsid w:val="00E52C96"/>
    <w:rsid w:val="00E536E4"/>
    <w:rsid w:val="00E53777"/>
    <w:rsid w:val="00E53813"/>
    <w:rsid w:val="00E5393B"/>
    <w:rsid w:val="00E53D8F"/>
    <w:rsid w:val="00E53F20"/>
    <w:rsid w:val="00E53FAC"/>
    <w:rsid w:val="00E546F1"/>
    <w:rsid w:val="00E54A86"/>
    <w:rsid w:val="00E54D00"/>
    <w:rsid w:val="00E54EA6"/>
    <w:rsid w:val="00E551DC"/>
    <w:rsid w:val="00E552A9"/>
    <w:rsid w:val="00E55332"/>
    <w:rsid w:val="00E55402"/>
    <w:rsid w:val="00E55492"/>
    <w:rsid w:val="00E557F7"/>
    <w:rsid w:val="00E55836"/>
    <w:rsid w:val="00E55948"/>
    <w:rsid w:val="00E55BB8"/>
    <w:rsid w:val="00E5601C"/>
    <w:rsid w:val="00E56231"/>
    <w:rsid w:val="00E56414"/>
    <w:rsid w:val="00E56636"/>
    <w:rsid w:val="00E56DBA"/>
    <w:rsid w:val="00E575E6"/>
    <w:rsid w:val="00E57686"/>
    <w:rsid w:val="00E57765"/>
    <w:rsid w:val="00E57926"/>
    <w:rsid w:val="00E57935"/>
    <w:rsid w:val="00E579E4"/>
    <w:rsid w:val="00E57AE1"/>
    <w:rsid w:val="00E57CB2"/>
    <w:rsid w:val="00E6011F"/>
    <w:rsid w:val="00E605D4"/>
    <w:rsid w:val="00E606DF"/>
    <w:rsid w:val="00E61069"/>
    <w:rsid w:val="00E61496"/>
    <w:rsid w:val="00E61550"/>
    <w:rsid w:val="00E61C8A"/>
    <w:rsid w:val="00E61D5A"/>
    <w:rsid w:val="00E61F3B"/>
    <w:rsid w:val="00E61F69"/>
    <w:rsid w:val="00E62438"/>
    <w:rsid w:val="00E6295E"/>
    <w:rsid w:val="00E629E7"/>
    <w:rsid w:val="00E62EC9"/>
    <w:rsid w:val="00E632D7"/>
    <w:rsid w:val="00E63351"/>
    <w:rsid w:val="00E638AA"/>
    <w:rsid w:val="00E63C76"/>
    <w:rsid w:val="00E63DF3"/>
    <w:rsid w:val="00E63F0F"/>
    <w:rsid w:val="00E63FCC"/>
    <w:rsid w:val="00E642F3"/>
    <w:rsid w:val="00E644BC"/>
    <w:rsid w:val="00E64736"/>
    <w:rsid w:val="00E64B59"/>
    <w:rsid w:val="00E64E79"/>
    <w:rsid w:val="00E64EF8"/>
    <w:rsid w:val="00E6515A"/>
    <w:rsid w:val="00E65182"/>
    <w:rsid w:val="00E65544"/>
    <w:rsid w:val="00E655DC"/>
    <w:rsid w:val="00E65AFF"/>
    <w:rsid w:val="00E65B21"/>
    <w:rsid w:val="00E65E65"/>
    <w:rsid w:val="00E661AD"/>
    <w:rsid w:val="00E663A5"/>
    <w:rsid w:val="00E66844"/>
    <w:rsid w:val="00E6689D"/>
    <w:rsid w:val="00E66920"/>
    <w:rsid w:val="00E66985"/>
    <w:rsid w:val="00E66B92"/>
    <w:rsid w:val="00E66BD2"/>
    <w:rsid w:val="00E66C9E"/>
    <w:rsid w:val="00E67113"/>
    <w:rsid w:val="00E672D6"/>
    <w:rsid w:val="00E6765D"/>
    <w:rsid w:val="00E67B2E"/>
    <w:rsid w:val="00E67D72"/>
    <w:rsid w:val="00E67F16"/>
    <w:rsid w:val="00E67FB5"/>
    <w:rsid w:val="00E7001F"/>
    <w:rsid w:val="00E7028E"/>
    <w:rsid w:val="00E702F2"/>
    <w:rsid w:val="00E705B0"/>
    <w:rsid w:val="00E708BB"/>
    <w:rsid w:val="00E70BCF"/>
    <w:rsid w:val="00E70BDA"/>
    <w:rsid w:val="00E70CD5"/>
    <w:rsid w:val="00E70F96"/>
    <w:rsid w:val="00E7133B"/>
    <w:rsid w:val="00E71560"/>
    <w:rsid w:val="00E71792"/>
    <w:rsid w:val="00E71F5C"/>
    <w:rsid w:val="00E72129"/>
    <w:rsid w:val="00E7234F"/>
    <w:rsid w:val="00E72FDE"/>
    <w:rsid w:val="00E731EE"/>
    <w:rsid w:val="00E7373B"/>
    <w:rsid w:val="00E73801"/>
    <w:rsid w:val="00E73892"/>
    <w:rsid w:val="00E748D7"/>
    <w:rsid w:val="00E74B6A"/>
    <w:rsid w:val="00E74D0A"/>
    <w:rsid w:val="00E74D43"/>
    <w:rsid w:val="00E74F27"/>
    <w:rsid w:val="00E7512E"/>
    <w:rsid w:val="00E751B0"/>
    <w:rsid w:val="00E7587E"/>
    <w:rsid w:val="00E75A8F"/>
    <w:rsid w:val="00E75ADF"/>
    <w:rsid w:val="00E75C05"/>
    <w:rsid w:val="00E75EB6"/>
    <w:rsid w:val="00E762E7"/>
    <w:rsid w:val="00E764B2"/>
    <w:rsid w:val="00E76576"/>
    <w:rsid w:val="00E76815"/>
    <w:rsid w:val="00E76959"/>
    <w:rsid w:val="00E77195"/>
    <w:rsid w:val="00E77296"/>
    <w:rsid w:val="00E77904"/>
    <w:rsid w:val="00E77C52"/>
    <w:rsid w:val="00E77CF2"/>
    <w:rsid w:val="00E800FB"/>
    <w:rsid w:val="00E801E8"/>
    <w:rsid w:val="00E80455"/>
    <w:rsid w:val="00E819C2"/>
    <w:rsid w:val="00E81B52"/>
    <w:rsid w:val="00E81B5D"/>
    <w:rsid w:val="00E81FF1"/>
    <w:rsid w:val="00E82142"/>
    <w:rsid w:val="00E8293C"/>
    <w:rsid w:val="00E829BC"/>
    <w:rsid w:val="00E82E1A"/>
    <w:rsid w:val="00E8337F"/>
    <w:rsid w:val="00E83A2B"/>
    <w:rsid w:val="00E83A97"/>
    <w:rsid w:val="00E83AA6"/>
    <w:rsid w:val="00E83AC4"/>
    <w:rsid w:val="00E83B9B"/>
    <w:rsid w:val="00E83EED"/>
    <w:rsid w:val="00E83F10"/>
    <w:rsid w:val="00E8405F"/>
    <w:rsid w:val="00E8408C"/>
    <w:rsid w:val="00E84C1C"/>
    <w:rsid w:val="00E84EC8"/>
    <w:rsid w:val="00E84F7C"/>
    <w:rsid w:val="00E852A7"/>
    <w:rsid w:val="00E856CB"/>
    <w:rsid w:val="00E85D41"/>
    <w:rsid w:val="00E85DA0"/>
    <w:rsid w:val="00E861F0"/>
    <w:rsid w:val="00E862CF"/>
    <w:rsid w:val="00E863EC"/>
    <w:rsid w:val="00E864A2"/>
    <w:rsid w:val="00E86608"/>
    <w:rsid w:val="00E86709"/>
    <w:rsid w:val="00E86948"/>
    <w:rsid w:val="00E86C25"/>
    <w:rsid w:val="00E86D09"/>
    <w:rsid w:val="00E86E59"/>
    <w:rsid w:val="00E8750E"/>
    <w:rsid w:val="00E87877"/>
    <w:rsid w:val="00E879C3"/>
    <w:rsid w:val="00E87D29"/>
    <w:rsid w:val="00E87F8F"/>
    <w:rsid w:val="00E901FA"/>
    <w:rsid w:val="00E90D4B"/>
    <w:rsid w:val="00E91079"/>
    <w:rsid w:val="00E913EB"/>
    <w:rsid w:val="00E91561"/>
    <w:rsid w:val="00E91808"/>
    <w:rsid w:val="00E9180D"/>
    <w:rsid w:val="00E91853"/>
    <w:rsid w:val="00E9193E"/>
    <w:rsid w:val="00E91A5E"/>
    <w:rsid w:val="00E91A6F"/>
    <w:rsid w:val="00E91CAC"/>
    <w:rsid w:val="00E91D7F"/>
    <w:rsid w:val="00E9228D"/>
    <w:rsid w:val="00E925EA"/>
    <w:rsid w:val="00E92A2A"/>
    <w:rsid w:val="00E92D52"/>
    <w:rsid w:val="00E93053"/>
    <w:rsid w:val="00E930F4"/>
    <w:rsid w:val="00E93115"/>
    <w:rsid w:val="00E93ADC"/>
    <w:rsid w:val="00E93C85"/>
    <w:rsid w:val="00E946AD"/>
    <w:rsid w:val="00E94992"/>
    <w:rsid w:val="00E9499E"/>
    <w:rsid w:val="00E94A61"/>
    <w:rsid w:val="00E94ABB"/>
    <w:rsid w:val="00E94D5B"/>
    <w:rsid w:val="00E94E8F"/>
    <w:rsid w:val="00E94E9C"/>
    <w:rsid w:val="00E951C4"/>
    <w:rsid w:val="00E9523F"/>
    <w:rsid w:val="00E95474"/>
    <w:rsid w:val="00E95493"/>
    <w:rsid w:val="00E955CE"/>
    <w:rsid w:val="00E95C57"/>
    <w:rsid w:val="00E9614B"/>
    <w:rsid w:val="00E966F7"/>
    <w:rsid w:val="00E96CE2"/>
    <w:rsid w:val="00E96D7C"/>
    <w:rsid w:val="00E97164"/>
    <w:rsid w:val="00E976BE"/>
    <w:rsid w:val="00E97766"/>
    <w:rsid w:val="00E97E4F"/>
    <w:rsid w:val="00EA0603"/>
    <w:rsid w:val="00EA0748"/>
    <w:rsid w:val="00EA0A38"/>
    <w:rsid w:val="00EA166E"/>
    <w:rsid w:val="00EA1F1D"/>
    <w:rsid w:val="00EA20D9"/>
    <w:rsid w:val="00EA2554"/>
    <w:rsid w:val="00EA27D0"/>
    <w:rsid w:val="00EA2DDA"/>
    <w:rsid w:val="00EA2EE0"/>
    <w:rsid w:val="00EA36A6"/>
    <w:rsid w:val="00EA3741"/>
    <w:rsid w:val="00EA3745"/>
    <w:rsid w:val="00EA38B8"/>
    <w:rsid w:val="00EA3B00"/>
    <w:rsid w:val="00EA3D5F"/>
    <w:rsid w:val="00EA4111"/>
    <w:rsid w:val="00EA4344"/>
    <w:rsid w:val="00EA4421"/>
    <w:rsid w:val="00EA4B4A"/>
    <w:rsid w:val="00EA505E"/>
    <w:rsid w:val="00EA52D9"/>
    <w:rsid w:val="00EA56DA"/>
    <w:rsid w:val="00EA5730"/>
    <w:rsid w:val="00EA5897"/>
    <w:rsid w:val="00EA601F"/>
    <w:rsid w:val="00EA63EF"/>
    <w:rsid w:val="00EA6729"/>
    <w:rsid w:val="00EA70F3"/>
    <w:rsid w:val="00EA7161"/>
    <w:rsid w:val="00EA7261"/>
    <w:rsid w:val="00EA7C55"/>
    <w:rsid w:val="00EA7FC2"/>
    <w:rsid w:val="00EB0032"/>
    <w:rsid w:val="00EB0050"/>
    <w:rsid w:val="00EB051B"/>
    <w:rsid w:val="00EB0875"/>
    <w:rsid w:val="00EB0D7A"/>
    <w:rsid w:val="00EB0E62"/>
    <w:rsid w:val="00EB1296"/>
    <w:rsid w:val="00EB206D"/>
    <w:rsid w:val="00EB26E9"/>
    <w:rsid w:val="00EB2CC5"/>
    <w:rsid w:val="00EB2F44"/>
    <w:rsid w:val="00EB31A6"/>
    <w:rsid w:val="00EB3E10"/>
    <w:rsid w:val="00EB3E48"/>
    <w:rsid w:val="00EB3F40"/>
    <w:rsid w:val="00EB3F65"/>
    <w:rsid w:val="00EB4039"/>
    <w:rsid w:val="00EB4045"/>
    <w:rsid w:val="00EB40D4"/>
    <w:rsid w:val="00EB430F"/>
    <w:rsid w:val="00EB4422"/>
    <w:rsid w:val="00EB4463"/>
    <w:rsid w:val="00EB4B6F"/>
    <w:rsid w:val="00EB4DB7"/>
    <w:rsid w:val="00EB5389"/>
    <w:rsid w:val="00EB53C2"/>
    <w:rsid w:val="00EB5703"/>
    <w:rsid w:val="00EB5AA3"/>
    <w:rsid w:val="00EB5CB1"/>
    <w:rsid w:val="00EB6175"/>
    <w:rsid w:val="00EB6590"/>
    <w:rsid w:val="00EB6612"/>
    <w:rsid w:val="00EB6982"/>
    <w:rsid w:val="00EB6BCD"/>
    <w:rsid w:val="00EB6F9D"/>
    <w:rsid w:val="00EB784A"/>
    <w:rsid w:val="00EB79A0"/>
    <w:rsid w:val="00EC00F4"/>
    <w:rsid w:val="00EC0165"/>
    <w:rsid w:val="00EC0291"/>
    <w:rsid w:val="00EC03BF"/>
    <w:rsid w:val="00EC049E"/>
    <w:rsid w:val="00EC0606"/>
    <w:rsid w:val="00EC06A7"/>
    <w:rsid w:val="00EC084E"/>
    <w:rsid w:val="00EC098C"/>
    <w:rsid w:val="00EC0C0C"/>
    <w:rsid w:val="00EC103A"/>
    <w:rsid w:val="00EC1D59"/>
    <w:rsid w:val="00EC1F12"/>
    <w:rsid w:val="00EC1FAC"/>
    <w:rsid w:val="00EC23EB"/>
    <w:rsid w:val="00EC24B1"/>
    <w:rsid w:val="00EC2514"/>
    <w:rsid w:val="00EC2563"/>
    <w:rsid w:val="00EC25B1"/>
    <w:rsid w:val="00EC2740"/>
    <w:rsid w:val="00EC28F1"/>
    <w:rsid w:val="00EC293B"/>
    <w:rsid w:val="00EC29D4"/>
    <w:rsid w:val="00EC2A96"/>
    <w:rsid w:val="00EC2C76"/>
    <w:rsid w:val="00EC2F18"/>
    <w:rsid w:val="00EC2FFF"/>
    <w:rsid w:val="00EC35A0"/>
    <w:rsid w:val="00EC3868"/>
    <w:rsid w:val="00EC3B0D"/>
    <w:rsid w:val="00EC3B19"/>
    <w:rsid w:val="00EC3C52"/>
    <w:rsid w:val="00EC3D72"/>
    <w:rsid w:val="00EC42EE"/>
    <w:rsid w:val="00EC43A4"/>
    <w:rsid w:val="00EC4713"/>
    <w:rsid w:val="00EC47DD"/>
    <w:rsid w:val="00EC48F0"/>
    <w:rsid w:val="00EC4BBC"/>
    <w:rsid w:val="00EC51CB"/>
    <w:rsid w:val="00EC55FB"/>
    <w:rsid w:val="00EC56FC"/>
    <w:rsid w:val="00EC572F"/>
    <w:rsid w:val="00EC5883"/>
    <w:rsid w:val="00EC59AF"/>
    <w:rsid w:val="00EC5C01"/>
    <w:rsid w:val="00EC5CC6"/>
    <w:rsid w:val="00EC65A4"/>
    <w:rsid w:val="00EC6740"/>
    <w:rsid w:val="00EC6804"/>
    <w:rsid w:val="00EC6965"/>
    <w:rsid w:val="00EC6984"/>
    <w:rsid w:val="00EC69CA"/>
    <w:rsid w:val="00EC73AE"/>
    <w:rsid w:val="00EC73E2"/>
    <w:rsid w:val="00EC7F0B"/>
    <w:rsid w:val="00ED0281"/>
    <w:rsid w:val="00ED038B"/>
    <w:rsid w:val="00ED03CD"/>
    <w:rsid w:val="00ED041A"/>
    <w:rsid w:val="00ED0947"/>
    <w:rsid w:val="00ED0CF2"/>
    <w:rsid w:val="00ED0FD4"/>
    <w:rsid w:val="00ED119F"/>
    <w:rsid w:val="00ED11A4"/>
    <w:rsid w:val="00ED1528"/>
    <w:rsid w:val="00ED1864"/>
    <w:rsid w:val="00ED18BF"/>
    <w:rsid w:val="00ED1AC2"/>
    <w:rsid w:val="00ED1EF9"/>
    <w:rsid w:val="00ED2032"/>
    <w:rsid w:val="00ED20EE"/>
    <w:rsid w:val="00ED2763"/>
    <w:rsid w:val="00ED314C"/>
    <w:rsid w:val="00ED3179"/>
    <w:rsid w:val="00ED322A"/>
    <w:rsid w:val="00ED3272"/>
    <w:rsid w:val="00ED3A36"/>
    <w:rsid w:val="00ED3EEC"/>
    <w:rsid w:val="00ED4306"/>
    <w:rsid w:val="00ED4C23"/>
    <w:rsid w:val="00ED4D47"/>
    <w:rsid w:val="00ED4E24"/>
    <w:rsid w:val="00ED53A7"/>
    <w:rsid w:val="00ED57C4"/>
    <w:rsid w:val="00ED59B6"/>
    <w:rsid w:val="00ED5FA6"/>
    <w:rsid w:val="00ED6239"/>
    <w:rsid w:val="00ED63DA"/>
    <w:rsid w:val="00ED6572"/>
    <w:rsid w:val="00ED6967"/>
    <w:rsid w:val="00ED6D80"/>
    <w:rsid w:val="00ED711C"/>
    <w:rsid w:val="00ED71E9"/>
    <w:rsid w:val="00ED748C"/>
    <w:rsid w:val="00ED772D"/>
    <w:rsid w:val="00ED788B"/>
    <w:rsid w:val="00ED7A07"/>
    <w:rsid w:val="00ED7B04"/>
    <w:rsid w:val="00ED7BF0"/>
    <w:rsid w:val="00EE00AB"/>
    <w:rsid w:val="00EE00E1"/>
    <w:rsid w:val="00EE0180"/>
    <w:rsid w:val="00EE01E7"/>
    <w:rsid w:val="00EE02D4"/>
    <w:rsid w:val="00EE0499"/>
    <w:rsid w:val="00EE08F7"/>
    <w:rsid w:val="00EE0960"/>
    <w:rsid w:val="00EE0ED8"/>
    <w:rsid w:val="00EE1071"/>
    <w:rsid w:val="00EE1570"/>
    <w:rsid w:val="00EE16E9"/>
    <w:rsid w:val="00EE1969"/>
    <w:rsid w:val="00EE1996"/>
    <w:rsid w:val="00EE1A29"/>
    <w:rsid w:val="00EE1AD5"/>
    <w:rsid w:val="00EE1CB1"/>
    <w:rsid w:val="00EE1FEC"/>
    <w:rsid w:val="00EE20AD"/>
    <w:rsid w:val="00EE2707"/>
    <w:rsid w:val="00EE2920"/>
    <w:rsid w:val="00EE29DB"/>
    <w:rsid w:val="00EE2A0E"/>
    <w:rsid w:val="00EE3273"/>
    <w:rsid w:val="00EE3548"/>
    <w:rsid w:val="00EE3782"/>
    <w:rsid w:val="00EE387C"/>
    <w:rsid w:val="00EE3A5D"/>
    <w:rsid w:val="00EE3D38"/>
    <w:rsid w:val="00EE3D83"/>
    <w:rsid w:val="00EE3DE2"/>
    <w:rsid w:val="00EE4460"/>
    <w:rsid w:val="00EE4526"/>
    <w:rsid w:val="00EE4641"/>
    <w:rsid w:val="00EE4A63"/>
    <w:rsid w:val="00EE4D17"/>
    <w:rsid w:val="00EE4D4D"/>
    <w:rsid w:val="00EE5241"/>
    <w:rsid w:val="00EE53AF"/>
    <w:rsid w:val="00EE5510"/>
    <w:rsid w:val="00EE5A55"/>
    <w:rsid w:val="00EE5A56"/>
    <w:rsid w:val="00EE5CFE"/>
    <w:rsid w:val="00EE6349"/>
    <w:rsid w:val="00EE646F"/>
    <w:rsid w:val="00EE67AA"/>
    <w:rsid w:val="00EE6AD3"/>
    <w:rsid w:val="00EE6CC9"/>
    <w:rsid w:val="00EE6CED"/>
    <w:rsid w:val="00EE75A8"/>
    <w:rsid w:val="00EE7671"/>
    <w:rsid w:val="00EE7BDF"/>
    <w:rsid w:val="00EE7C4C"/>
    <w:rsid w:val="00EE7DAD"/>
    <w:rsid w:val="00EF00CA"/>
    <w:rsid w:val="00EF00FB"/>
    <w:rsid w:val="00EF02B2"/>
    <w:rsid w:val="00EF05FE"/>
    <w:rsid w:val="00EF0C79"/>
    <w:rsid w:val="00EF0E8B"/>
    <w:rsid w:val="00EF11B8"/>
    <w:rsid w:val="00EF1B33"/>
    <w:rsid w:val="00EF2131"/>
    <w:rsid w:val="00EF21C3"/>
    <w:rsid w:val="00EF2224"/>
    <w:rsid w:val="00EF2417"/>
    <w:rsid w:val="00EF2C90"/>
    <w:rsid w:val="00EF2D12"/>
    <w:rsid w:val="00EF2E81"/>
    <w:rsid w:val="00EF3004"/>
    <w:rsid w:val="00EF300C"/>
    <w:rsid w:val="00EF32E5"/>
    <w:rsid w:val="00EF33DE"/>
    <w:rsid w:val="00EF356A"/>
    <w:rsid w:val="00EF38AE"/>
    <w:rsid w:val="00EF39B6"/>
    <w:rsid w:val="00EF3A54"/>
    <w:rsid w:val="00EF3ADC"/>
    <w:rsid w:val="00EF3B35"/>
    <w:rsid w:val="00EF3C50"/>
    <w:rsid w:val="00EF3CC1"/>
    <w:rsid w:val="00EF3F40"/>
    <w:rsid w:val="00EF4114"/>
    <w:rsid w:val="00EF4275"/>
    <w:rsid w:val="00EF439A"/>
    <w:rsid w:val="00EF4CE9"/>
    <w:rsid w:val="00EF4F29"/>
    <w:rsid w:val="00EF500A"/>
    <w:rsid w:val="00EF5979"/>
    <w:rsid w:val="00EF5CF4"/>
    <w:rsid w:val="00EF5DAC"/>
    <w:rsid w:val="00EF5E85"/>
    <w:rsid w:val="00EF5EA0"/>
    <w:rsid w:val="00EF617A"/>
    <w:rsid w:val="00EF631B"/>
    <w:rsid w:val="00EF6760"/>
    <w:rsid w:val="00EF694B"/>
    <w:rsid w:val="00EF6A30"/>
    <w:rsid w:val="00EF6CA5"/>
    <w:rsid w:val="00EF6E21"/>
    <w:rsid w:val="00EF70CD"/>
    <w:rsid w:val="00EF7488"/>
    <w:rsid w:val="00EF7E09"/>
    <w:rsid w:val="00F00371"/>
    <w:rsid w:val="00F00813"/>
    <w:rsid w:val="00F00823"/>
    <w:rsid w:val="00F00D2C"/>
    <w:rsid w:val="00F00EBD"/>
    <w:rsid w:val="00F00F10"/>
    <w:rsid w:val="00F01186"/>
    <w:rsid w:val="00F012C4"/>
    <w:rsid w:val="00F014B8"/>
    <w:rsid w:val="00F01560"/>
    <w:rsid w:val="00F01838"/>
    <w:rsid w:val="00F01A01"/>
    <w:rsid w:val="00F01A64"/>
    <w:rsid w:val="00F01AFB"/>
    <w:rsid w:val="00F01C58"/>
    <w:rsid w:val="00F01E2E"/>
    <w:rsid w:val="00F0209D"/>
    <w:rsid w:val="00F020FB"/>
    <w:rsid w:val="00F0278E"/>
    <w:rsid w:val="00F02B83"/>
    <w:rsid w:val="00F0321A"/>
    <w:rsid w:val="00F03394"/>
    <w:rsid w:val="00F036A5"/>
    <w:rsid w:val="00F0386D"/>
    <w:rsid w:val="00F03A55"/>
    <w:rsid w:val="00F03BC2"/>
    <w:rsid w:val="00F03E95"/>
    <w:rsid w:val="00F03ED5"/>
    <w:rsid w:val="00F03FB0"/>
    <w:rsid w:val="00F04031"/>
    <w:rsid w:val="00F0416E"/>
    <w:rsid w:val="00F0431F"/>
    <w:rsid w:val="00F045D3"/>
    <w:rsid w:val="00F047D4"/>
    <w:rsid w:val="00F0481F"/>
    <w:rsid w:val="00F04A04"/>
    <w:rsid w:val="00F04B13"/>
    <w:rsid w:val="00F050FE"/>
    <w:rsid w:val="00F0554E"/>
    <w:rsid w:val="00F05809"/>
    <w:rsid w:val="00F05891"/>
    <w:rsid w:val="00F05CB1"/>
    <w:rsid w:val="00F05EC6"/>
    <w:rsid w:val="00F05F76"/>
    <w:rsid w:val="00F060D4"/>
    <w:rsid w:val="00F060F6"/>
    <w:rsid w:val="00F06265"/>
    <w:rsid w:val="00F065E5"/>
    <w:rsid w:val="00F0683F"/>
    <w:rsid w:val="00F07380"/>
    <w:rsid w:val="00F0781B"/>
    <w:rsid w:val="00F07A55"/>
    <w:rsid w:val="00F07E31"/>
    <w:rsid w:val="00F07E91"/>
    <w:rsid w:val="00F10065"/>
    <w:rsid w:val="00F10067"/>
    <w:rsid w:val="00F101FA"/>
    <w:rsid w:val="00F103B4"/>
    <w:rsid w:val="00F1059A"/>
    <w:rsid w:val="00F10B32"/>
    <w:rsid w:val="00F10D1F"/>
    <w:rsid w:val="00F10F7A"/>
    <w:rsid w:val="00F112E5"/>
    <w:rsid w:val="00F1176E"/>
    <w:rsid w:val="00F11777"/>
    <w:rsid w:val="00F11808"/>
    <w:rsid w:val="00F11940"/>
    <w:rsid w:val="00F11A92"/>
    <w:rsid w:val="00F11BEA"/>
    <w:rsid w:val="00F128A8"/>
    <w:rsid w:val="00F12A9E"/>
    <w:rsid w:val="00F12C16"/>
    <w:rsid w:val="00F12F76"/>
    <w:rsid w:val="00F13129"/>
    <w:rsid w:val="00F138A3"/>
    <w:rsid w:val="00F1399A"/>
    <w:rsid w:val="00F13A3E"/>
    <w:rsid w:val="00F13B8F"/>
    <w:rsid w:val="00F13C2A"/>
    <w:rsid w:val="00F13EB0"/>
    <w:rsid w:val="00F13EEF"/>
    <w:rsid w:val="00F14288"/>
    <w:rsid w:val="00F1450F"/>
    <w:rsid w:val="00F14527"/>
    <w:rsid w:val="00F146A3"/>
    <w:rsid w:val="00F14D4C"/>
    <w:rsid w:val="00F15593"/>
    <w:rsid w:val="00F15750"/>
    <w:rsid w:val="00F157B1"/>
    <w:rsid w:val="00F1590A"/>
    <w:rsid w:val="00F15E97"/>
    <w:rsid w:val="00F160AC"/>
    <w:rsid w:val="00F16A0D"/>
    <w:rsid w:val="00F16CC4"/>
    <w:rsid w:val="00F170E5"/>
    <w:rsid w:val="00F1739F"/>
    <w:rsid w:val="00F1779F"/>
    <w:rsid w:val="00F177BE"/>
    <w:rsid w:val="00F20266"/>
    <w:rsid w:val="00F20349"/>
    <w:rsid w:val="00F204FC"/>
    <w:rsid w:val="00F206F1"/>
    <w:rsid w:val="00F20AA8"/>
    <w:rsid w:val="00F20CC3"/>
    <w:rsid w:val="00F215F6"/>
    <w:rsid w:val="00F223A0"/>
    <w:rsid w:val="00F22569"/>
    <w:rsid w:val="00F226B4"/>
    <w:rsid w:val="00F22759"/>
    <w:rsid w:val="00F22874"/>
    <w:rsid w:val="00F22DA0"/>
    <w:rsid w:val="00F23314"/>
    <w:rsid w:val="00F23472"/>
    <w:rsid w:val="00F237AE"/>
    <w:rsid w:val="00F23955"/>
    <w:rsid w:val="00F23988"/>
    <w:rsid w:val="00F244FD"/>
    <w:rsid w:val="00F247D1"/>
    <w:rsid w:val="00F2491C"/>
    <w:rsid w:val="00F24A5D"/>
    <w:rsid w:val="00F24B51"/>
    <w:rsid w:val="00F24E08"/>
    <w:rsid w:val="00F25620"/>
    <w:rsid w:val="00F25648"/>
    <w:rsid w:val="00F25CC8"/>
    <w:rsid w:val="00F25E72"/>
    <w:rsid w:val="00F25EC4"/>
    <w:rsid w:val="00F25EE0"/>
    <w:rsid w:val="00F26037"/>
    <w:rsid w:val="00F261EE"/>
    <w:rsid w:val="00F2622E"/>
    <w:rsid w:val="00F264DA"/>
    <w:rsid w:val="00F2673B"/>
    <w:rsid w:val="00F26C27"/>
    <w:rsid w:val="00F26C88"/>
    <w:rsid w:val="00F26F68"/>
    <w:rsid w:val="00F273FD"/>
    <w:rsid w:val="00F27ADF"/>
    <w:rsid w:val="00F27C84"/>
    <w:rsid w:val="00F3026F"/>
    <w:rsid w:val="00F303DF"/>
    <w:rsid w:val="00F30415"/>
    <w:rsid w:val="00F30529"/>
    <w:rsid w:val="00F30573"/>
    <w:rsid w:val="00F30585"/>
    <w:rsid w:val="00F305E5"/>
    <w:rsid w:val="00F306F9"/>
    <w:rsid w:val="00F30BC7"/>
    <w:rsid w:val="00F30CF3"/>
    <w:rsid w:val="00F31054"/>
    <w:rsid w:val="00F31313"/>
    <w:rsid w:val="00F314F7"/>
    <w:rsid w:val="00F3179A"/>
    <w:rsid w:val="00F31914"/>
    <w:rsid w:val="00F319F3"/>
    <w:rsid w:val="00F31E45"/>
    <w:rsid w:val="00F320CE"/>
    <w:rsid w:val="00F320E2"/>
    <w:rsid w:val="00F32355"/>
    <w:rsid w:val="00F323FC"/>
    <w:rsid w:val="00F327FC"/>
    <w:rsid w:val="00F328C1"/>
    <w:rsid w:val="00F32A4A"/>
    <w:rsid w:val="00F32C75"/>
    <w:rsid w:val="00F32CDB"/>
    <w:rsid w:val="00F32E55"/>
    <w:rsid w:val="00F3307A"/>
    <w:rsid w:val="00F332BF"/>
    <w:rsid w:val="00F33474"/>
    <w:rsid w:val="00F337C8"/>
    <w:rsid w:val="00F33B99"/>
    <w:rsid w:val="00F33C74"/>
    <w:rsid w:val="00F33EA8"/>
    <w:rsid w:val="00F33EBC"/>
    <w:rsid w:val="00F34207"/>
    <w:rsid w:val="00F343D2"/>
    <w:rsid w:val="00F34413"/>
    <w:rsid w:val="00F34AAE"/>
    <w:rsid w:val="00F34BF3"/>
    <w:rsid w:val="00F34E35"/>
    <w:rsid w:val="00F34F86"/>
    <w:rsid w:val="00F3503D"/>
    <w:rsid w:val="00F3508A"/>
    <w:rsid w:val="00F350D2"/>
    <w:rsid w:val="00F35134"/>
    <w:rsid w:val="00F35219"/>
    <w:rsid w:val="00F356A5"/>
    <w:rsid w:val="00F357DD"/>
    <w:rsid w:val="00F35E83"/>
    <w:rsid w:val="00F3643B"/>
    <w:rsid w:val="00F36480"/>
    <w:rsid w:val="00F3649D"/>
    <w:rsid w:val="00F36719"/>
    <w:rsid w:val="00F367F9"/>
    <w:rsid w:val="00F368BE"/>
    <w:rsid w:val="00F3691E"/>
    <w:rsid w:val="00F369E9"/>
    <w:rsid w:val="00F36A62"/>
    <w:rsid w:val="00F36B9B"/>
    <w:rsid w:val="00F36C99"/>
    <w:rsid w:val="00F36F69"/>
    <w:rsid w:val="00F3753E"/>
    <w:rsid w:val="00F3788B"/>
    <w:rsid w:val="00F37917"/>
    <w:rsid w:val="00F37A41"/>
    <w:rsid w:val="00F37AE2"/>
    <w:rsid w:val="00F37CA2"/>
    <w:rsid w:val="00F37D36"/>
    <w:rsid w:val="00F37D6F"/>
    <w:rsid w:val="00F40398"/>
    <w:rsid w:val="00F4054F"/>
    <w:rsid w:val="00F40940"/>
    <w:rsid w:val="00F40AA1"/>
    <w:rsid w:val="00F40D3C"/>
    <w:rsid w:val="00F40EAE"/>
    <w:rsid w:val="00F410D7"/>
    <w:rsid w:val="00F418D9"/>
    <w:rsid w:val="00F41945"/>
    <w:rsid w:val="00F41A3C"/>
    <w:rsid w:val="00F41CF0"/>
    <w:rsid w:val="00F42131"/>
    <w:rsid w:val="00F422CF"/>
    <w:rsid w:val="00F425CC"/>
    <w:rsid w:val="00F4267E"/>
    <w:rsid w:val="00F427B9"/>
    <w:rsid w:val="00F427F6"/>
    <w:rsid w:val="00F42A90"/>
    <w:rsid w:val="00F42BB2"/>
    <w:rsid w:val="00F42E8F"/>
    <w:rsid w:val="00F431BB"/>
    <w:rsid w:val="00F43234"/>
    <w:rsid w:val="00F43413"/>
    <w:rsid w:val="00F43492"/>
    <w:rsid w:val="00F437BD"/>
    <w:rsid w:val="00F43D2B"/>
    <w:rsid w:val="00F43E02"/>
    <w:rsid w:val="00F4404F"/>
    <w:rsid w:val="00F44F92"/>
    <w:rsid w:val="00F452B1"/>
    <w:rsid w:val="00F452F6"/>
    <w:rsid w:val="00F4572E"/>
    <w:rsid w:val="00F4593D"/>
    <w:rsid w:val="00F45B3A"/>
    <w:rsid w:val="00F4621E"/>
    <w:rsid w:val="00F467C0"/>
    <w:rsid w:val="00F46D7B"/>
    <w:rsid w:val="00F471FB"/>
    <w:rsid w:val="00F473FF"/>
    <w:rsid w:val="00F47610"/>
    <w:rsid w:val="00F476EC"/>
    <w:rsid w:val="00F4784B"/>
    <w:rsid w:val="00F47940"/>
    <w:rsid w:val="00F47A03"/>
    <w:rsid w:val="00F47F0A"/>
    <w:rsid w:val="00F47F7A"/>
    <w:rsid w:val="00F50105"/>
    <w:rsid w:val="00F50265"/>
    <w:rsid w:val="00F503CD"/>
    <w:rsid w:val="00F50496"/>
    <w:rsid w:val="00F5057C"/>
    <w:rsid w:val="00F50AC9"/>
    <w:rsid w:val="00F50C6C"/>
    <w:rsid w:val="00F50CC9"/>
    <w:rsid w:val="00F517B6"/>
    <w:rsid w:val="00F51955"/>
    <w:rsid w:val="00F51A82"/>
    <w:rsid w:val="00F51BCB"/>
    <w:rsid w:val="00F52565"/>
    <w:rsid w:val="00F52CF3"/>
    <w:rsid w:val="00F53799"/>
    <w:rsid w:val="00F539EE"/>
    <w:rsid w:val="00F53AF6"/>
    <w:rsid w:val="00F54397"/>
    <w:rsid w:val="00F544FC"/>
    <w:rsid w:val="00F54970"/>
    <w:rsid w:val="00F54A45"/>
    <w:rsid w:val="00F55052"/>
    <w:rsid w:val="00F552BD"/>
    <w:rsid w:val="00F552CE"/>
    <w:rsid w:val="00F5556D"/>
    <w:rsid w:val="00F55ABF"/>
    <w:rsid w:val="00F55CF5"/>
    <w:rsid w:val="00F55DDA"/>
    <w:rsid w:val="00F55E58"/>
    <w:rsid w:val="00F55E76"/>
    <w:rsid w:val="00F5631E"/>
    <w:rsid w:val="00F56548"/>
    <w:rsid w:val="00F56804"/>
    <w:rsid w:val="00F56884"/>
    <w:rsid w:val="00F56B05"/>
    <w:rsid w:val="00F56C33"/>
    <w:rsid w:val="00F56C62"/>
    <w:rsid w:val="00F56E6C"/>
    <w:rsid w:val="00F57238"/>
    <w:rsid w:val="00F57323"/>
    <w:rsid w:val="00F5761C"/>
    <w:rsid w:val="00F57995"/>
    <w:rsid w:val="00F600A4"/>
    <w:rsid w:val="00F60147"/>
    <w:rsid w:val="00F60375"/>
    <w:rsid w:val="00F60597"/>
    <w:rsid w:val="00F606A5"/>
    <w:rsid w:val="00F60780"/>
    <w:rsid w:val="00F60A3C"/>
    <w:rsid w:val="00F60A56"/>
    <w:rsid w:val="00F60B4E"/>
    <w:rsid w:val="00F618D9"/>
    <w:rsid w:val="00F61BB1"/>
    <w:rsid w:val="00F61BC5"/>
    <w:rsid w:val="00F62085"/>
    <w:rsid w:val="00F62152"/>
    <w:rsid w:val="00F624AA"/>
    <w:rsid w:val="00F6259A"/>
    <w:rsid w:val="00F6282A"/>
    <w:rsid w:val="00F62856"/>
    <w:rsid w:val="00F629E7"/>
    <w:rsid w:val="00F62C86"/>
    <w:rsid w:val="00F6317E"/>
    <w:rsid w:val="00F636E4"/>
    <w:rsid w:val="00F63972"/>
    <w:rsid w:val="00F63F53"/>
    <w:rsid w:val="00F645EC"/>
    <w:rsid w:val="00F6462E"/>
    <w:rsid w:val="00F6464A"/>
    <w:rsid w:val="00F6465A"/>
    <w:rsid w:val="00F64B4A"/>
    <w:rsid w:val="00F6582C"/>
    <w:rsid w:val="00F65A2F"/>
    <w:rsid w:val="00F65BDD"/>
    <w:rsid w:val="00F662AE"/>
    <w:rsid w:val="00F66475"/>
    <w:rsid w:val="00F66628"/>
    <w:rsid w:val="00F66817"/>
    <w:rsid w:val="00F66D8A"/>
    <w:rsid w:val="00F67244"/>
    <w:rsid w:val="00F67347"/>
    <w:rsid w:val="00F673D4"/>
    <w:rsid w:val="00F67607"/>
    <w:rsid w:val="00F67663"/>
    <w:rsid w:val="00F6766C"/>
    <w:rsid w:val="00F7065B"/>
    <w:rsid w:val="00F710B0"/>
    <w:rsid w:val="00F71340"/>
    <w:rsid w:val="00F7152E"/>
    <w:rsid w:val="00F717AD"/>
    <w:rsid w:val="00F71A0B"/>
    <w:rsid w:val="00F71C36"/>
    <w:rsid w:val="00F71D08"/>
    <w:rsid w:val="00F72043"/>
    <w:rsid w:val="00F727CC"/>
    <w:rsid w:val="00F728A7"/>
    <w:rsid w:val="00F72A4F"/>
    <w:rsid w:val="00F72EE3"/>
    <w:rsid w:val="00F73047"/>
    <w:rsid w:val="00F730A5"/>
    <w:rsid w:val="00F734F9"/>
    <w:rsid w:val="00F73539"/>
    <w:rsid w:val="00F73841"/>
    <w:rsid w:val="00F73D5D"/>
    <w:rsid w:val="00F73F70"/>
    <w:rsid w:val="00F7467C"/>
    <w:rsid w:val="00F7492C"/>
    <w:rsid w:val="00F74FDD"/>
    <w:rsid w:val="00F751D7"/>
    <w:rsid w:val="00F753EA"/>
    <w:rsid w:val="00F75EB1"/>
    <w:rsid w:val="00F76519"/>
    <w:rsid w:val="00F768E6"/>
    <w:rsid w:val="00F76916"/>
    <w:rsid w:val="00F76B38"/>
    <w:rsid w:val="00F76C40"/>
    <w:rsid w:val="00F76DC3"/>
    <w:rsid w:val="00F76E20"/>
    <w:rsid w:val="00F76F23"/>
    <w:rsid w:val="00F77242"/>
    <w:rsid w:val="00F774F1"/>
    <w:rsid w:val="00F7784C"/>
    <w:rsid w:val="00F779E8"/>
    <w:rsid w:val="00F77A03"/>
    <w:rsid w:val="00F77A50"/>
    <w:rsid w:val="00F77A7B"/>
    <w:rsid w:val="00F77B47"/>
    <w:rsid w:val="00F8021B"/>
    <w:rsid w:val="00F8031C"/>
    <w:rsid w:val="00F803F4"/>
    <w:rsid w:val="00F804F2"/>
    <w:rsid w:val="00F80728"/>
    <w:rsid w:val="00F807FF"/>
    <w:rsid w:val="00F80D67"/>
    <w:rsid w:val="00F810E4"/>
    <w:rsid w:val="00F81334"/>
    <w:rsid w:val="00F81594"/>
    <w:rsid w:val="00F81661"/>
    <w:rsid w:val="00F81829"/>
    <w:rsid w:val="00F81C29"/>
    <w:rsid w:val="00F8200E"/>
    <w:rsid w:val="00F82577"/>
    <w:rsid w:val="00F8274C"/>
    <w:rsid w:val="00F82AB1"/>
    <w:rsid w:val="00F82FBF"/>
    <w:rsid w:val="00F82FF4"/>
    <w:rsid w:val="00F83140"/>
    <w:rsid w:val="00F8330A"/>
    <w:rsid w:val="00F837F4"/>
    <w:rsid w:val="00F83BAA"/>
    <w:rsid w:val="00F84049"/>
    <w:rsid w:val="00F84197"/>
    <w:rsid w:val="00F842A4"/>
    <w:rsid w:val="00F843BE"/>
    <w:rsid w:val="00F84695"/>
    <w:rsid w:val="00F84779"/>
    <w:rsid w:val="00F84A0F"/>
    <w:rsid w:val="00F84A25"/>
    <w:rsid w:val="00F84BE7"/>
    <w:rsid w:val="00F84BEC"/>
    <w:rsid w:val="00F850DA"/>
    <w:rsid w:val="00F850FE"/>
    <w:rsid w:val="00F85492"/>
    <w:rsid w:val="00F854F3"/>
    <w:rsid w:val="00F866F3"/>
    <w:rsid w:val="00F86EB3"/>
    <w:rsid w:val="00F87306"/>
    <w:rsid w:val="00F87853"/>
    <w:rsid w:val="00F87A0B"/>
    <w:rsid w:val="00F87F79"/>
    <w:rsid w:val="00F90021"/>
    <w:rsid w:val="00F90039"/>
    <w:rsid w:val="00F90106"/>
    <w:rsid w:val="00F90129"/>
    <w:rsid w:val="00F901A9"/>
    <w:rsid w:val="00F9026B"/>
    <w:rsid w:val="00F9028E"/>
    <w:rsid w:val="00F904E6"/>
    <w:rsid w:val="00F90679"/>
    <w:rsid w:val="00F909F1"/>
    <w:rsid w:val="00F90B08"/>
    <w:rsid w:val="00F90CFF"/>
    <w:rsid w:val="00F90E04"/>
    <w:rsid w:val="00F90EDE"/>
    <w:rsid w:val="00F90F02"/>
    <w:rsid w:val="00F914AF"/>
    <w:rsid w:val="00F915DD"/>
    <w:rsid w:val="00F917E5"/>
    <w:rsid w:val="00F91A45"/>
    <w:rsid w:val="00F91A48"/>
    <w:rsid w:val="00F9245F"/>
    <w:rsid w:val="00F924B5"/>
    <w:rsid w:val="00F9263E"/>
    <w:rsid w:val="00F92644"/>
    <w:rsid w:val="00F92A69"/>
    <w:rsid w:val="00F92AA6"/>
    <w:rsid w:val="00F92F99"/>
    <w:rsid w:val="00F93093"/>
    <w:rsid w:val="00F9311A"/>
    <w:rsid w:val="00F93204"/>
    <w:rsid w:val="00F9332F"/>
    <w:rsid w:val="00F933E3"/>
    <w:rsid w:val="00F9342E"/>
    <w:rsid w:val="00F93AE5"/>
    <w:rsid w:val="00F93B48"/>
    <w:rsid w:val="00F93B54"/>
    <w:rsid w:val="00F93B65"/>
    <w:rsid w:val="00F94541"/>
    <w:rsid w:val="00F94823"/>
    <w:rsid w:val="00F94E34"/>
    <w:rsid w:val="00F95114"/>
    <w:rsid w:val="00F95321"/>
    <w:rsid w:val="00F95325"/>
    <w:rsid w:val="00F954B3"/>
    <w:rsid w:val="00F95687"/>
    <w:rsid w:val="00F95B26"/>
    <w:rsid w:val="00F95B77"/>
    <w:rsid w:val="00F95C88"/>
    <w:rsid w:val="00F95D96"/>
    <w:rsid w:val="00F96140"/>
    <w:rsid w:val="00F96141"/>
    <w:rsid w:val="00F96202"/>
    <w:rsid w:val="00F96937"/>
    <w:rsid w:val="00F9699C"/>
    <w:rsid w:val="00F96C34"/>
    <w:rsid w:val="00F96D49"/>
    <w:rsid w:val="00F97078"/>
    <w:rsid w:val="00F970B3"/>
    <w:rsid w:val="00F974CC"/>
    <w:rsid w:val="00F97A67"/>
    <w:rsid w:val="00F97D1E"/>
    <w:rsid w:val="00F97D53"/>
    <w:rsid w:val="00F97F1B"/>
    <w:rsid w:val="00FA033D"/>
    <w:rsid w:val="00FA0554"/>
    <w:rsid w:val="00FA1577"/>
    <w:rsid w:val="00FA15A1"/>
    <w:rsid w:val="00FA201E"/>
    <w:rsid w:val="00FA2257"/>
    <w:rsid w:val="00FA24CB"/>
    <w:rsid w:val="00FA29BB"/>
    <w:rsid w:val="00FA2B17"/>
    <w:rsid w:val="00FA3816"/>
    <w:rsid w:val="00FA3F44"/>
    <w:rsid w:val="00FA4089"/>
    <w:rsid w:val="00FA40BF"/>
    <w:rsid w:val="00FA432C"/>
    <w:rsid w:val="00FA466B"/>
    <w:rsid w:val="00FA4CE9"/>
    <w:rsid w:val="00FA5362"/>
    <w:rsid w:val="00FA58E5"/>
    <w:rsid w:val="00FA5CCB"/>
    <w:rsid w:val="00FA631E"/>
    <w:rsid w:val="00FA63F9"/>
    <w:rsid w:val="00FA694B"/>
    <w:rsid w:val="00FA69AB"/>
    <w:rsid w:val="00FA6CAE"/>
    <w:rsid w:val="00FA6E27"/>
    <w:rsid w:val="00FA6EC6"/>
    <w:rsid w:val="00FA715C"/>
    <w:rsid w:val="00FA7648"/>
    <w:rsid w:val="00FA76ED"/>
    <w:rsid w:val="00FA7A66"/>
    <w:rsid w:val="00FA7B44"/>
    <w:rsid w:val="00FB04D1"/>
    <w:rsid w:val="00FB05E4"/>
    <w:rsid w:val="00FB0655"/>
    <w:rsid w:val="00FB06CD"/>
    <w:rsid w:val="00FB0A30"/>
    <w:rsid w:val="00FB0B1A"/>
    <w:rsid w:val="00FB0B23"/>
    <w:rsid w:val="00FB0D26"/>
    <w:rsid w:val="00FB0E75"/>
    <w:rsid w:val="00FB0EB5"/>
    <w:rsid w:val="00FB0FA3"/>
    <w:rsid w:val="00FB1554"/>
    <w:rsid w:val="00FB15E9"/>
    <w:rsid w:val="00FB17B9"/>
    <w:rsid w:val="00FB1891"/>
    <w:rsid w:val="00FB20BD"/>
    <w:rsid w:val="00FB246C"/>
    <w:rsid w:val="00FB248B"/>
    <w:rsid w:val="00FB2726"/>
    <w:rsid w:val="00FB2980"/>
    <w:rsid w:val="00FB2981"/>
    <w:rsid w:val="00FB2A29"/>
    <w:rsid w:val="00FB2B94"/>
    <w:rsid w:val="00FB2FBB"/>
    <w:rsid w:val="00FB34AB"/>
    <w:rsid w:val="00FB3606"/>
    <w:rsid w:val="00FB38E7"/>
    <w:rsid w:val="00FB3AEB"/>
    <w:rsid w:val="00FB3F34"/>
    <w:rsid w:val="00FB3FE8"/>
    <w:rsid w:val="00FB46FD"/>
    <w:rsid w:val="00FB491C"/>
    <w:rsid w:val="00FB4D6A"/>
    <w:rsid w:val="00FB52C1"/>
    <w:rsid w:val="00FB5325"/>
    <w:rsid w:val="00FB5642"/>
    <w:rsid w:val="00FB57CE"/>
    <w:rsid w:val="00FB5AA2"/>
    <w:rsid w:val="00FB5CED"/>
    <w:rsid w:val="00FB6262"/>
    <w:rsid w:val="00FB64FF"/>
    <w:rsid w:val="00FB68C8"/>
    <w:rsid w:val="00FB6A7C"/>
    <w:rsid w:val="00FB6D25"/>
    <w:rsid w:val="00FB6FBD"/>
    <w:rsid w:val="00FB73B4"/>
    <w:rsid w:val="00FB7471"/>
    <w:rsid w:val="00FB74DD"/>
    <w:rsid w:val="00FB77E1"/>
    <w:rsid w:val="00FC0568"/>
    <w:rsid w:val="00FC06EF"/>
    <w:rsid w:val="00FC08A5"/>
    <w:rsid w:val="00FC0A55"/>
    <w:rsid w:val="00FC0A69"/>
    <w:rsid w:val="00FC0C11"/>
    <w:rsid w:val="00FC1039"/>
    <w:rsid w:val="00FC10A2"/>
    <w:rsid w:val="00FC1900"/>
    <w:rsid w:val="00FC1AA8"/>
    <w:rsid w:val="00FC1CCD"/>
    <w:rsid w:val="00FC2816"/>
    <w:rsid w:val="00FC2A5A"/>
    <w:rsid w:val="00FC2CBE"/>
    <w:rsid w:val="00FC323B"/>
    <w:rsid w:val="00FC35A4"/>
    <w:rsid w:val="00FC3AC4"/>
    <w:rsid w:val="00FC3B11"/>
    <w:rsid w:val="00FC3C5A"/>
    <w:rsid w:val="00FC3DED"/>
    <w:rsid w:val="00FC3E90"/>
    <w:rsid w:val="00FC3F72"/>
    <w:rsid w:val="00FC40FA"/>
    <w:rsid w:val="00FC42A5"/>
    <w:rsid w:val="00FC45E7"/>
    <w:rsid w:val="00FC464C"/>
    <w:rsid w:val="00FC4686"/>
    <w:rsid w:val="00FC4BEC"/>
    <w:rsid w:val="00FC4D5D"/>
    <w:rsid w:val="00FC4DD8"/>
    <w:rsid w:val="00FC4E32"/>
    <w:rsid w:val="00FC52F2"/>
    <w:rsid w:val="00FC5473"/>
    <w:rsid w:val="00FC551B"/>
    <w:rsid w:val="00FC5583"/>
    <w:rsid w:val="00FC56B4"/>
    <w:rsid w:val="00FC57AE"/>
    <w:rsid w:val="00FC582D"/>
    <w:rsid w:val="00FC5876"/>
    <w:rsid w:val="00FC59A3"/>
    <w:rsid w:val="00FC5A79"/>
    <w:rsid w:val="00FC616D"/>
    <w:rsid w:val="00FC6226"/>
    <w:rsid w:val="00FC6457"/>
    <w:rsid w:val="00FC650A"/>
    <w:rsid w:val="00FC6609"/>
    <w:rsid w:val="00FC6920"/>
    <w:rsid w:val="00FC6AFD"/>
    <w:rsid w:val="00FC6CBD"/>
    <w:rsid w:val="00FC72C9"/>
    <w:rsid w:val="00FC7313"/>
    <w:rsid w:val="00FC7391"/>
    <w:rsid w:val="00FC74D2"/>
    <w:rsid w:val="00FC79C1"/>
    <w:rsid w:val="00FC7A05"/>
    <w:rsid w:val="00FC7BBD"/>
    <w:rsid w:val="00FC7C65"/>
    <w:rsid w:val="00FC7F84"/>
    <w:rsid w:val="00FD0082"/>
    <w:rsid w:val="00FD0115"/>
    <w:rsid w:val="00FD036B"/>
    <w:rsid w:val="00FD03AB"/>
    <w:rsid w:val="00FD05F7"/>
    <w:rsid w:val="00FD0AB5"/>
    <w:rsid w:val="00FD0EF8"/>
    <w:rsid w:val="00FD14FE"/>
    <w:rsid w:val="00FD15FA"/>
    <w:rsid w:val="00FD1BE9"/>
    <w:rsid w:val="00FD1C18"/>
    <w:rsid w:val="00FD1E6D"/>
    <w:rsid w:val="00FD1F2B"/>
    <w:rsid w:val="00FD239C"/>
    <w:rsid w:val="00FD263D"/>
    <w:rsid w:val="00FD28F0"/>
    <w:rsid w:val="00FD2C7C"/>
    <w:rsid w:val="00FD2F78"/>
    <w:rsid w:val="00FD3306"/>
    <w:rsid w:val="00FD35A2"/>
    <w:rsid w:val="00FD3E04"/>
    <w:rsid w:val="00FD3E95"/>
    <w:rsid w:val="00FD3FAB"/>
    <w:rsid w:val="00FD4316"/>
    <w:rsid w:val="00FD47CC"/>
    <w:rsid w:val="00FD48B0"/>
    <w:rsid w:val="00FD4A52"/>
    <w:rsid w:val="00FD4B5F"/>
    <w:rsid w:val="00FD5405"/>
    <w:rsid w:val="00FD5877"/>
    <w:rsid w:val="00FD62E9"/>
    <w:rsid w:val="00FD6518"/>
    <w:rsid w:val="00FD6835"/>
    <w:rsid w:val="00FD6D6A"/>
    <w:rsid w:val="00FD6E54"/>
    <w:rsid w:val="00FD6F39"/>
    <w:rsid w:val="00FD7188"/>
    <w:rsid w:val="00FD72DA"/>
    <w:rsid w:val="00FD7C8B"/>
    <w:rsid w:val="00FD7F95"/>
    <w:rsid w:val="00FE011C"/>
    <w:rsid w:val="00FE0421"/>
    <w:rsid w:val="00FE043B"/>
    <w:rsid w:val="00FE0683"/>
    <w:rsid w:val="00FE0A45"/>
    <w:rsid w:val="00FE0A4A"/>
    <w:rsid w:val="00FE0E2C"/>
    <w:rsid w:val="00FE10DC"/>
    <w:rsid w:val="00FE12A2"/>
    <w:rsid w:val="00FE15E3"/>
    <w:rsid w:val="00FE1852"/>
    <w:rsid w:val="00FE1927"/>
    <w:rsid w:val="00FE1BC6"/>
    <w:rsid w:val="00FE1E96"/>
    <w:rsid w:val="00FE24E9"/>
    <w:rsid w:val="00FE251C"/>
    <w:rsid w:val="00FE25B7"/>
    <w:rsid w:val="00FE26AB"/>
    <w:rsid w:val="00FE2859"/>
    <w:rsid w:val="00FE2D62"/>
    <w:rsid w:val="00FE2E4F"/>
    <w:rsid w:val="00FE2F5C"/>
    <w:rsid w:val="00FE3076"/>
    <w:rsid w:val="00FE34C4"/>
    <w:rsid w:val="00FE3988"/>
    <w:rsid w:val="00FE39A8"/>
    <w:rsid w:val="00FE3A82"/>
    <w:rsid w:val="00FE3EFC"/>
    <w:rsid w:val="00FE3F01"/>
    <w:rsid w:val="00FE3F69"/>
    <w:rsid w:val="00FE401C"/>
    <w:rsid w:val="00FE43D8"/>
    <w:rsid w:val="00FE4419"/>
    <w:rsid w:val="00FE44A1"/>
    <w:rsid w:val="00FE4687"/>
    <w:rsid w:val="00FE498F"/>
    <w:rsid w:val="00FE4F74"/>
    <w:rsid w:val="00FE4FEF"/>
    <w:rsid w:val="00FE507F"/>
    <w:rsid w:val="00FE56C3"/>
    <w:rsid w:val="00FE5A0C"/>
    <w:rsid w:val="00FE61AA"/>
    <w:rsid w:val="00FE6739"/>
    <w:rsid w:val="00FE695F"/>
    <w:rsid w:val="00FE6BB6"/>
    <w:rsid w:val="00FE6BDA"/>
    <w:rsid w:val="00FE6C42"/>
    <w:rsid w:val="00FE71CC"/>
    <w:rsid w:val="00FE7260"/>
    <w:rsid w:val="00FE7307"/>
    <w:rsid w:val="00FE7328"/>
    <w:rsid w:val="00FE7388"/>
    <w:rsid w:val="00FE73B6"/>
    <w:rsid w:val="00FE741E"/>
    <w:rsid w:val="00FE7511"/>
    <w:rsid w:val="00FE7825"/>
    <w:rsid w:val="00FE7AC2"/>
    <w:rsid w:val="00FE7B09"/>
    <w:rsid w:val="00FE7C3E"/>
    <w:rsid w:val="00FF0080"/>
    <w:rsid w:val="00FF01D9"/>
    <w:rsid w:val="00FF046D"/>
    <w:rsid w:val="00FF0F9D"/>
    <w:rsid w:val="00FF0FA5"/>
    <w:rsid w:val="00FF1142"/>
    <w:rsid w:val="00FF11DA"/>
    <w:rsid w:val="00FF124C"/>
    <w:rsid w:val="00FF13A2"/>
    <w:rsid w:val="00FF171F"/>
    <w:rsid w:val="00FF1864"/>
    <w:rsid w:val="00FF1B9D"/>
    <w:rsid w:val="00FF1EAF"/>
    <w:rsid w:val="00FF2131"/>
    <w:rsid w:val="00FF28CC"/>
    <w:rsid w:val="00FF2B13"/>
    <w:rsid w:val="00FF2B28"/>
    <w:rsid w:val="00FF324F"/>
    <w:rsid w:val="00FF3451"/>
    <w:rsid w:val="00FF3574"/>
    <w:rsid w:val="00FF36E1"/>
    <w:rsid w:val="00FF3CD0"/>
    <w:rsid w:val="00FF3D0C"/>
    <w:rsid w:val="00FF3E42"/>
    <w:rsid w:val="00FF3FEF"/>
    <w:rsid w:val="00FF4669"/>
    <w:rsid w:val="00FF4964"/>
    <w:rsid w:val="00FF4BBD"/>
    <w:rsid w:val="00FF4DAC"/>
    <w:rsid w:val="00FF4F08"/>
    <w:rsid w:val="00FF5410"/>
    <w:rsid w:val="00FF5536"/>
    <w:rsid w:val="00FF57C2"/>
    <w:rsid w:val="00FF5832"/>
    <w:rsid w:val="00FF58A5"/>
    <w:rsid w:val="00FF5B64"/>
    <w:rsid w:val="00FF5BE5"/>
    <w:rsid w:val="00FF6100"/>
    <w:rsid w:val="00FF6313"/>
    <w:rsid w:val="00FF63D6"/>
    <w:rsid w:val="00FF64D9"/>
    <w:rsid w:val="00FF65B0"/>
    <w:rsid w:val="00FF6697"/>
    <w:rsid w:val="00FF6751"/>
    <w:rsid w:val="00FF6958"/>
    <w:rsid w:val="00FF7322"/>
    <w:rsid w:val="00FF7359"/>
    <w:rsid w:val="00FF75F0"/>
    <w:rsid w:val="00FF794A"/>
    <w:rsid w:val="00FF7955"/>
    <w:rsid w:val="00FF7B2B"/>
    <w:rsid w:val="00FF7F15"/>
    <w:rsid w:val="02291BA9"/>
    <w:rsid w:val="02DF47DE"/>
    <w:rsid w:val="0379BC75"/>
    <w:rsid w:val="044D00FD"/>
    <w:rsid w:val="046E172A"/>
    <w:rsid w:val="04750F82"/>
    <w:rsid w:val="05506098"/>
    <w:rsid w:val="05657040"/>
    <w:rsid w:val="056D2DE3"/>
    <w:rsid w:val="058185F6"/>
    <w:rsid w:val="058BFEEA"/>
    <w:rsid w:val="06C2E5BE"/>
    <w:rsid w:val="07EC6934"/>
    <w:rsid w:val="094B8392"/>
    <w:rsid w:val="0A641D76"/>
    <w:rsid w:val="0A7AB029"/>
    <w:rsid w:val="0A8B62A6"/>
    <w:rsid w:val="0A8EB041"/>
    <w:rsid w:val="0AF754A7"/>
    <w:rsid w:val="0B51011E"/>
    <w:rsid w:val="0C2DC28B"/>
    <w:rsid w:val="0C407CFC"/>
    <w:rsid w:val="0DD55CF1"/>
    <w:rsid w:val="0E11D0FD"/>
    <w:rsid w:val="0EE0B5CA"/>
    <w:rsid w:val="0F5A9980"/>
    <w:rsid w:val="0F843078"/>
    <w:rsid w:val="102DDE08"/>
    <w:rsid w:val="1152D5ED"/>
    <w:rsid w:val="1164CFC3"/>
    <w:rsid w:val="118DD136"/>
    <w:rsid w:val="11CAD97F"/>
    <w:rsid w:val="12539C47"/>
    <w:rsid w:val="1265D4FC"/>
    <w:rsid w:val="1419F4C5"/>
    <w:rsid w:val="14726A1A"/>
    <w:rsid w:val="152B7FAC"/>
    <w:rsid w:val="1545AEA2"/>
    <w:rsid w:val="16C32CA2"/>
    <w:rsid w:val="17D7085E"/>
    <w:rsid w:val="18AA4CE6"/>
    <w:rsid w:val="18F95C6A"/>
    <w:rsid w:val="19B077E1"/>
    <w:rsid w:val="1A563135"/>
    <w:rsid w:val="1AD32CEC"/>
    <w:rsid w:val="1B994687"/>
    <w:rsid w:val="1C142A74"/>
    <w:rsid w:val="1C5D934D"/>
    <w:rsid w:val="1C8EF185"/>
    <w:rsid w:val="1D45566C"/>
    <w:rsid w:val="1D4D64C9"/>
    <w:rsid w:val="1D8BE74B"/>
    <w:rsid w:val="1DB1DE73"/>
    <w:rsid w:val="1DB30D4F"/>
    <w:rsid w:val="1E7C2B7E"/>
    <w:rsid w:val="1E7EB1BF"/>
    <w:rsid w:val="1E909054"/>
    <w:rsid w:val="1E936CC7"/>
    <w:rsid w:val="1E98AFB0"/>
    <w:rsid w:val="1F273BAD"/>
    <w:rsid w:val="20663E70"/>
    <w:rsid w:val="20A81191"/>
    <w:rsid w:val="217B5619"/>
    <w:rsid w:val="220B6C4A"/>
    <w:rsid w:val="2405E999"/>
    <w:rsid w:val="24F1FB98"/>
    <w:rsid w:val="2533BFC6"/>
    <w:rsid w:val="29C2785E"/>
    <w:rsid w:val="29EAE259"/>
    <w:rsid w:val="2A4A07AD"/>
    <w:rsid w:val="2A4C0259"/>
    <w:rsid w:val="2AEB255E"/>
    <w:rsid w:val="2B43CCDB"/>
    <w:rsid w:val="2C41D35C"/>
    <w:rsid w:val="2CE9101F"/>
    <w:rsid w:val="2D144104"/>
    <w:rsid w:val="2E7489BC"/>
    <w:rsid w:val="2E9F04FC"/>
    <w:rsid w:val="2F13745E"/>
    <w:rsid w:val="2F27E9BD"/>
    <w:rsid w:val="2FA69D14"/>
    <w:rsid w:val="314C2068"/>
    <w:rsid w:val="317AFBE0"/>
    <w:rsid w:val="319DBF19"/>
    <w:rsid w:val="31AAECAA"/>
    <w:rsid w:val="31FBE5AA"/>
    <w:rsid w:val="3441281B"/>
    <w:rsid w:val="34E73F0A"/>
    <w:rsid w:val="34F6AD4A"/>
    <w:rsid w:val="358F3181"/>
    <w:rsid w:val="35EAA93D"/>
    <w:rsid w:val="36830B91"/>
    <w:rsid w:val="377902F0"/>
    <w:rsid w:val="395FB90A"/>
    <w:rsid w:val="3A90818C"/>
    <w:rsid w:val="3AC729B1"/>
    <w:rsid w:val="3BC55274"/>
    <w:rsid w:val="3C4159DC"/>
    <w:rsid w:val="3C4B7271"/>
    <w:rsid w:val="3C50FD42"/>
    <w:rsid w:val="3C6DF0F8"/>
    <w:rsid w:val="3D0ABEF0"/>
    <w:rsid w:val="3DD321B8"/>
    <w:rsid w:val="3E472C2E"/>
    <w:rsid w:val="3E5B9165"/>
    <w:rsid w:val="3E849B39"/>
    <w:rsid w:val="3F827BBB"/>
    <w:rsid w:val="3FE03453"/>
    <w:rsid w:val="3FF4A043"/>
    <w:rsid w:val="4085E334"/>
    <w:rsid w:val="40A023BA"/>
    <w:rsid w:val="40EACB57"/>
    <w:rsid w:val="41775CA2"/>
    <w:rsid w:val="41DC27E8"/>
    <w:rsid w:val="41F1A7A9"/>
    <w:rsid w:val="42AA3E92"/>
    <w:rsid w:val="431B374E"/>
    <w:rsid w:val="439B3AC3"/>
    <w:rsid w:val="44262965"/>
    <w:rsid w:val="450AEB48"/>
    <w:rsid w:val="45BE7D38"/>
    <w:rsid w:val="467CDDB5"/>
    <w:rsid w:val="47B9F3AA"/>
    <w:rsid w:val="47EA169B"/>
    <w:rsid w:val="485005BE"/>
    <w:rsid w:val="49071A76"/>
    <w:rsid w:val="49E735F3"/>
    <w:rsid w:val="4A0330D2"/>
    <w:rsid w:val="4BAF7038"/>
    <w:rsid w:val="4C01BBB6"/>
    <w:rsid w:val="4C099C4E"/>
    <w:rsid w:val="4C0A764A"/>
    <w:rsid w:val="4C150D27"/>
    <w:rsid w:val="4D5B09A8"/>
    <w:rsid w:val="4D7A0185"/>
    <w:rsid w:val="4DCE3E0B"/>
    <w:rsid w:val="4DCE9733"/>
    <w:rsid w:val="4DDFFC8A"/>
    <w:rsid w:val="4E2CC9DC"/>
    <w:rsid w:val="4E71C0CB"/>
    <w:rsid w:val="4EA18293"/>
    <w:rsid w:val="4EC47A3D"/>
    <w:rsid w:val="4FA627F9"/>
    <w:rsid w:val="4FC3B971"/>
    <w:rsid w:val="4FE2BEB9"/>
    <w:rsid w:val="4FEA13CC"/>
    <w:rsid w:val="507F1990"/>
    <w:rsid w:val="52A0DB2E"/>
    <w:rsid w:val="52E4A90A"/>
    <w:rsid w:val="5340C6A0"/>
    <w:rsid w:val="534206AD"/>
    <w:rsid w:val="543AF641"/>
    <w:rsid w:val="55BDED5D"/>
    <w:rsid w:val="56A938BA"/>
    <w:rsid w:val="57B09249"/>
    <w:rsid w:val="5851A4DD"/>
    <w:rsid w:val="58D05484"/>
    <w:rsid w:val="59016B3D"/>
    <w:rsid w:val="5A350ECE"/>
    <w:rsid w:val="5A93013E"/>
    <w:rsid w:val="5B54394E"/>
    <w:rsid w:val="5B6117E8"/>
    <w:rsid w:val="5B7521F9"/>
    <w:rsid w:val="5B9B6CDA"/>
    <w:rsid w:val="5BA767CF"/>
    <w:rsid w:val="5BE9DAB0"/>
    <w:rsid w:val="5CD21030"/>
    <w:rsid w:val="5D326BE9"/>
    <w:rsid w:val="5DFB4C94"/>
    <w:rsid w:val="5E673454"/>
    <w:rsid w:val="5F2FA88F"/>
    <w:rsid w:val="5FD7FDEC"/>
    <w:rsid w:val="60410B38"/>
    <w:rsid w:val="6049F4DD"/>
    <w:rsid w:val="60FABADE"/>
    <w:rsid w:val="60FDFD3B"/>
    <w:rsid w:val="649F6C84"/>
    <w:rsid w:val="64BBD785"/>
    <w:rsid w:val="64C23DF6"/>
    <w:rsid w:val="6581AD2E"/>
    <w:rsid w:val="65FC5499"/>
    <w:rsid w:val="673C9A39"/>
    <w:rsid w:val="6788B1AB"/>
    <w:rsid w:val="68A97005"/>
    <w:rsid w:val="68B24082"/>
    <w:rsid w:val="68D867E0"/>
    <w:rsid w:val="69027105"/>
    <w:rsid w:val="69227825"/>
    <w:rsid w:val="693005FF"/>
    <w:rsid w:val="694612AC"/>
    <w:rsid w:val="6A9D891A"/>
    <w:rsid w:val="6B216E93"/>
    <w:rsid w:val="6C66FC18"/>
    <w:rsid w:val="6D6FFE8A"/>
    <w:rsid w:val="6EA4FDAA"/>
    <w:rsid w:val="6F7E99F7"/>
    <w:rsid w:val="701CE9DF"/>
    <w:rsid w:val="701F4B67"/>
    <w:rsid w:val="7050E899"/>
    <w:rsid w:val="70D10FFE"/>
    <w:rsid w:val="70F02E67"/>
    <w:rsid w:val="71110DBC"/>
    <w:rsid w:val="71830330"/>
    <w:rsid w:val="7186005A"/>
    <w:rsid w:val="7268E54B"/>
    <w:rsid w:val="72F732E4"/>
    <w:rsid w:val="730EF683"/>
    <w:rsid w:val="739DADB6"/>
    <w:rsid w:val="74C9E945"/>
    <w:rsid w:val="75C9C4E9"/>
    <w:rsid w:val="75D3A677"/>
    <w:rsid w:val="75E224BC"/>
    <w:rsid w:val="76467449"/>
    <w:rsid w:val="7665B9A6"/>
    <w:rsid w:val="768C5FBF"/>
    <w:rsid w:val="774E0377"/>
    <w:rsid w:val="777704B1"/>
    <w:rsid w:val="77D7A255"/>
    <w:rsid w:val="7821EE38"/>
    <w:rsid w:val="789A84F3"/>
    <w:rsid w:val="79508814"/>
    <w:rsid w:val="79CE787D"/>
    <w:rsid w:val="7A641933"/>
    <w:rsid w:val="7AC0D5B5"/>
    <w:rsid w:val="7B78986D"/>
    <w:rsid w:val="7B8B6B18"/>
    <w:rsid w:val="7B8B9B2F"/>
    <w:rsid w:val="7BF583D8"/>
    <w:rsid w:val="7CCCDBCE"/>
    <w:rsid w:val="7E39B1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0F7CC"/>
  <w15:docId w15:val="{0A932A82-22D0-480D-AF15-C8E88E60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2B"/>
    <w:pPr>
      <w:spacing w:after="120" w:line="480" w:lineRule="auto"/>
      <w:ind w:firstLine="720"/>
      <w:contextualSpacing/>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A37F2"/>
    <w:pPr>
      <w:numPr>
        <w:numId w:val="2"/>
      </w:numPr>
      <w:pBdr>
        <w:top w:val="nil"/>
        <w:left w:val="nil"/>
        <w:bottom w:val="nil"/>
        <w:right w:val="nil"/>
        <w:between w:val="nil"/>
      </w:pBdr>
      <w:spacing w:after="240" w:line="240" w:lineRule="auto"/>
      <w:ind w:left="1080"/>
      <w:outlineLvl w:val="0"/>
    </w:pPr>
    <w:rPr>
      <w:b/>
      <w:color w:val="000000"/>
    </w:rPr>
  </w:style>
  <w:style w:type="paragraph" w:styleId="Heading2">
    <w:name w:val="heading 2"/>
    <w:basedOn w:val="ListParagraph"/>
    <w:next w:val="Normal"/>
    <w:uiPriority w:val="9"/>
    <w:unhideWhenUsed/>
    <w:qFormat/>
    <w:rsid w:val="00CC6AE2"/>
    <w:pPr>
      <w:keepNext/>
      <w:keepLines/>
      <w:numPr>
        <w:numId w:val="3"/>
      </w:numPr>
      <w:spacing w:after="160" w:line="240" w:lineRule="auto"/>
      <w:contextualSpacing w:val="0"/>
      <w:outlineLvl w:val="1"/>
    </w:pPr>
    <w:rPr>
      <w:b/>
      <w:bCs/>
    </w:rPr>
  </w:style>
  <w:style w:type="paragraph" w:styleId="Heading3">
    <w:name w:val="heading 3"/>
    <w:basedOn w:val="ListParagraph"/>
    <w:next w:val="Normal"/>
    <w:link w:val="Heading3Char"/>
    <w:uiPriority w:val="9"/>
    <w:unhideWhenUsed/>
    <w:qFormat/>
    <w:rsid w:val="004E02AD"/>
    <w:pPr>
      <w:numPr>
        <w:numId w:val="48"/>
      </w:numPr>
      <w:spacing w:after="0" w:line="240" w:lineRule="auto"/>
      <w:contextualSpacing w:val="0"/>
      <w:outlineLvl w:val="2"/>
    </w:pPr>
    <w:rPr>
      <w:b/>
      <w:bCs/>
    </w:rPr>
  </w:style>
  <w:style w:type="paragraph" w:styleId="Heading4">
    <w:name w:val="heading 4"/>
    <w:basedOn w:val="Normal"/>
    <w:next w:val="Normal"/>
    <w:uiPriority w:val="9"/>
    <w:semiHidden/>
    <w:unhideWhenUsed/>
    <w:qFormat/>
    <w:pPr>
      <w:keepNext/>
      <w:keepLines/>
      <w:spacing w:before="40"/>
      <w:ind w:left="216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keepLines/>
      <w:spacing w:before="40"/>
      <w:ind w:left="2880"/>
      <w:outlineLvl w:val="4"/>
    </w:pPr>
    <w:rPr>
      <w:rFonts w:ascii="Calibri" w:eastAsia="Calibri" w:hAnsi="Calibri" w:cs="Calibri"/>
      <w:color w:val="2E75B5"/>
    </w:rPr>
  </w:style>
  <w:style w:type="paragraph" w:styleId="Heading6">
    <w:name w:val="heading 6"/>
    <w:basedOn w:val="Normal"/>
    <w:next w:val="Normal"/>
    <w:uiPriority w:val="9"/>
    <w:semiHidden/>
    <w:unhideWhenUsed/>
    <w:qFormat/>
    <w:pPr>
      <w:keepNext/>
      <w:keepLines/>
      <w:spacing w:before="40"/>
      <w:ind w:left="3600"/>
      <w:outlineLvl w:val="5"/>
    </w:pPr>
    <w:rPr>
      <w:rFonts w:ascii="Calibri" w:eastAsia="Calibri" w:hAnsi="Calibri" w:cs="Calibri"/>
      <w:color w:val="1E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A83513"/>
    <w:pPr>
      <w:spacing w:line="240" w:lineRule="auto"/>
      <w:jc w:val="center"/>
    </w:pPr>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line="240" w:lineRule="auto"/>
    </w:pPr>
    <w:rPr>
      <w:rFonts w:ascii="Calibri" w:eastAsia="Calibri" w:hAnsi="Calibri" w:cs="Calibri"/>
    </w:r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92D90"/>
    <w:pPr>
      <w:spacing w:line="240" w:lineRule="auto"/>
    </w:pPr>
    <w:rPr>
      <w:sz w:val="18"/>
      <w:szCs w:val="18"/>
    </w:rPr>
  </w:style>
  <w:style w:type="character" w:customStyle="1" w:styleId="BalloonTextChar">
    <w:name w:val="Balloon Text Char"/>
    <w:basedOn w:val="DefaultParagraphFont"/>
    <w:link w:val="BalloonText"/>
    <w:uiPriority w:val="99"/>
    <w:semiHidden/>
    <w:rsid w:val="00792D90"/>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792D90"/>
    <w:rPr>
      <w:b/>
      <w:bCs/>
    </w:rPr>
  </w:style>
  <w:style w:type="character" w:customStyle="1" w:styleId="CommentSubjectChar">
    <w:name w:val="Comment Subject Char"/>
    <w:basedOn w:val="CommentTextChar"/>
    <w:link w:val="CommentSubject"/>
    <w:uiPriority w:val="99"/>
    <w:semiHidden/>
    <w:rsid w:val="00792D90"/>
    <w:rPr>
      <w:b/>
      <w:bCs/>
      <w:sz w:val="20"/>
      <w:szCs w:val="20"/>
    </w:rPr>
  </w:style>
  <w:style w:type="paragraph" w:styleId="FootnoteText">
    <w:name w:val="footnote text"/>
    <w:basedOn w:val="Normal"/>
    <w:link w:val="FootnoteTextChar"/>
    <w:uiPriority w:val="99"/>
    <w:unhideWhenUsed/>
    <w:rsid w:val="00D57793"/>
    <w:pPr>
      <w:spacing w:line="240" w:lineRule="auto"/>
    </w:pPr>
    <w:rPr>
      <w:sz w:val="20"/>
      <w:szCs w:val="20"/>
    </w:rPr>
  </w:style>
  <w:style w:type="character" w:customStyle="1" w:styleId="FootnoteTextChar">
    <w:name w:val="Footnote Text Char"/>
    <w:basedOn w:val="DefaultParagraphFont"/>
    <w:link w:val="FootnoteText"/>
    <w:uiPriority w:val="99"/>
    <w:rsid w:val="00D5779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C1A05"/>
    <w:rPr>
      <w:vertAlign w:val="superscript"/>
    </w:rPr>
  </w:style>
  <w:style w:type="character" w:styleId="Hyperlink">
    <w:name w:val="Hyperlink"/>
    <w:basedOn w:val="DefaultParagraphFont"/>
    <w:uiPriority w:val="99"/>
    <w:unhideWhenUsed/>
    <w:rsid w:val="003C1A05"/>
    <w:rPr>
      <w:color w:val="0000FF"/>
      <w:u w:val="single"/>
    </w:rPr>
  </w:style>
  <w:style w:type="character" w:customStyle="1" w:styleId="UnresolvedMention1">
    <w:name w:val="Unresolved Mention1"/>
    <w:basedOn w:val="DefaultParagraphFont"/>
    <w:uiPriority w:val="99"/>
    <w:semiHidden/>
    <w:unhideWhenUsed/>
    <w:rsid w:val="004F4940"/>
    <w:rPr>
      <w:color w:val="605E5C"/>
      <w:shd w:val="clear" w:color="auto" w:fill="E1DFDD"/>
    </w:rPr>
  </w:style>
  <w:style w:type="paragraph" w:styleId="ListParagraph">
    <w:name w:val="List Paragraph"/>
    <w:basedOn w:val="Normal"/>
    <w:uiPriority w:val="34"/>
    <w:qFormat/>
    <w:rsid w:val="00935696"/>
  </w:style>
  <w:style w:type="paragraph" w:styleId="Revision">
    <w:name w:val="Revision"/>
    <w:hidden/>
    <w:uiPriority w:val="99"/>
    <w:semiHidden/>
    <w:rsid w:val="00993506"/>
    <w:pPr>
      <w:spacing w:line="240" w:lineRule="auto"/>
    </w:pPr>
  </w:style>
  <w:style w:type="character" w:customStyle="1" w:styleId="UnresolvedMention2">
    <w:name w:val="Unresolved Mention2"/>
    <w:basedOn w:val="DefaultParagraphFont"/>
    <w:uiPriority w:val="99"/>
    <w:semiHidden/>
    <w:unhideWhenUsed/>
    <w:rsid w:val="00306BCE"/>
    <w:rPr>
      <w:color w:val="605E5C"/>
      <w:shd w:val="clear" w:color="auto" w:fill="E1DFDD"/>
    </w:rPr>
  </w:style>
  <w:style w:type="character" w:styleId="FollowedHyperlink">
    <w:name w:val="FollowedHyperlink"/>
    <w:basedOn w:val="DefaultParagraphFont"/>
    <w:uiPriority w:val="99"/>
    <w:semiHidden/>
    <w:unhideWhenUsed/>
    <w:rsid w:val="007272CF"/>
    <w:rPr>
      <w:color w:val="800080" w:themeColor="followedHyperlink"/>
      <w:u w:val="single"/>
    </w:rPr>
  </w:style>
  <w:style w:type="character" w:customStyle="1" w:styleId="UnresolvedMention3">
    <w:name w:val="Unresolved Mention3"/>
    <w:basedOn w:val="DefaultParagraphFont"/>
    <w:uiPriority w:val="99"/>
    <w:semiHidden/>
    <w:unhideWhenUsed/>
    <w:rsid w:val="005B1CB2"/>
    <w:rPr>
      <w:color w:val="605E5C"/>
      <w:shd w:val="clear" w:color="auto" w:fill="E1DFDD"/>
    </w:rPr>
  </w:style>
  <w:style w:type="paragraph" w:styleId="Caption">
    <w:name w:val="caption"/>
    <w:basedOn w:val="Normal"/>
    <w:next w:val="Normal"/>
    <w:uiPriority w:val="35"/>
    <w:unhideWhenUsed/>
    <w:qFormat/>
    <w:rsid w:val="00875623"/>
    <w:pPr>
      <w:spacing w:after="200" w:line="240" w:lineRule="auto"/>
      <w:jc w:val="center"/>
    </w:pPr>
    <w:rPr>
      <w:i/>
      <w:iCs/>
      <w:color w:val="1F497D" w:themeColor="text2"/>
      <w:sz w:val="18"/>
      <w:szCs w:val="18"/>
    </w:rPr>
  </w:style>
  <w:style w:type="character" w:customStyle="1" w:styleId="al-author-name-more">
    <w:name w:val="al-author-name-more"/>
    <w:basedOn w:val="DefaultParagraphFont"/>
    <w:rsid w:val="00AD1B6B"/>
  </w:style>
  <w:style w:type="character" w:customStyle="1" w:styleId="UnresolvedMention4">
    <w:name w:val="Unresolved Mention4"/>
    <w:basedOn w:val="DefaultParagraphFont"/>
    <w:uiPriority w:val="99"/>
    <w:semiHidden/>
    <w:unhideWhenUsed/>
    <w:rsid w:val="0093243E"/>
    <w:rPr>
      <w:color w:val="605E5C"/>
      <w:shd w:val="clear" w:color="auto" w:fill="E1DFDD"/>
    </w:rPr>
  </w:style>
  <w:style w:type="paragraph" w:styleId="Header">
    <w:name w:val="header"/>
    <w:basedOn w:val="Normal"/>
    <w:link w:val="HeaderChar"/>
    <w:uiPriority w:val="99"/>
    <w:unhideWhenUsed/>
    <w:rsid w:val="00D753DE"/>
    <w:pPr>
      <w:tabs>
        <w:tab w:val="center" w:pos="4680"/>
        <w:tab w:val="right" w:pos="9360"/>
      </w:tabs>
      <w:spacing w:line="240" w:lineRule="auto"/>
    </w:pPr>
  </w:style>
  <w:style w:type="character" w:customStyle="1" w:styleId="HeaderChar">
    <w:name w:val="Header Char"/>
    <w:basedOn w:val="DefaultParagraphFont"/>
    <w:link w:val="Header"/>
    <w:uiPriority w:val="99"/>
    <w:rsid w:val="00D753DE"/>
  </w:style>
  <w:style w:type="paragraph" w:styleId="Footer">
    <w:name w:val="footer"/>
    <w:basedOn w:val="Normal"/>
    <w:link w:val="FooterChar"/>
    <w:uiPriority w:val="99"/>
    <w:unhideWhenUsed/>
    <w:rsid w:val="00D753DE"/>
    <w:pPr>
      <w:tabs>
        <w:tab w:val="center" w:pos="4680"/>
        <w:tab w:val="right" w:pos="9360"/>
      </w:tabs>
      <w:spacing w:line="240" w:lineRule="auto"/>
    </w:pPr>
  </w:style>
  <w:style w:type="character" w:customStyle="1" w:styleId="FooterChar">
    <w:name w:val="Footer Char"/>
    <w:basedOn w:val="DefaultParagraphFont"/>
    <w:link w:val="Footer"/>
    <w:uiPriority w:val="99"/>
    <w:rsid w:val="00D753DE"/>
  </w:style>
  <w:style w:type="character" w:customStyle="1" w:styleId="UnresolvedMention5">
    <w:name w:val="Unresolved Mention5"/>
    <w:basedOn w:val="DefaultParagraphFont"/>
    <w:uiPriority w:val="99"/>
    <w:semiHidden/>
    <w:unhideWhenUsed/>
    <w:rsid w:val="006F696E"/>
    <w:rPr>
      <w:color w:val="605E5C"/>
      <w:shd w:val="clear" w:color="auto" w:fill="E1DFDD"/>
    </w:rPr>
  </w:style>
  <w:style w:type="paragraph" w:customStyle="1" w:styleId="Default">
    <w:name w:val="Default"/>
    <w:rsid w:val="003B050A"/>
    <w:pPr>
      <w:autoSpaceDE w:val="0"/>
      <w:autoSpaceDN w:val="0"/>
      <w:adjustRightInd w:val="0"/>
      <w:spacing w:line="240" w:lineRule="auto"/>
    </w:pPr>
    <w:rPr>
      <w:rFonts w:ascii="Arno Pro" w:eastAsiaTheme="minorHAnsi" w:hAnsi="Arno Pro" w:cs="Arno Pro"/>
      <w:color w:val="000000"/>
      <w:sz w:val="24"/>
      <w:szCs w:val="24"/>
      <w:lang w:val="en-US"/>
    </w:rPr>
  </w:style>
  <w:style w:type="character" w:customStyle="1" w:styleId="A10">
    <w:name w:val="A10"/>
    <w:uiPriority w:val="99"/>
    <w:rsid w:val="003B050A"/>
    <w:rPr>
      <w:rFonts w:cs="Arno Pro"/>
      <w:color w:val="000000"/>
      <w:sz w:val="20"/>
      <w:szCs w:val="20"/>
    </w:rPr>
  </w:style>
  <w:style w:type="paragraph" w:styleId="Quote">
    <w:name w:val="Quote"/>
    <w:basedOn w:val="Normal"/>
    <w:next w:val="Normal"/>
    <w:link w:val="QuoteChar"/>
    <w:uiPriority w:val="29"/>
    <w:qFormat/>
    <w:rsid w:val="00B8061F"/>
    <w:pPr>
      <w:ind w:right="720"/>
    </w:pPr>
    <w:rPr>
      <w:i/>
    </w:rPr>
  </w:style>
  <w:style w:type="character" w:customStyle="1" w:styleId="QuoteChar">
    <w:name w:val="Quote Char"/>
    <w:basedOn w:val="DefaultParagraphFont"/>
    <w:link w:val="Quote"/>
    <w:uiPriority w:val="29"/>
    <w:rsid w:val="00B8061F"/>
    <w:rPr>
      <w:rFonts w:ascii="Times New Roman" w:eastAsia="Times New Roman" w:hAnsi="Times New Roman" w:cs="Times New Roman"/>
      <w:i/>
      <w:sz w:val="24"/>
      <w:szCs w:val="24"/>
    </w:rPr>
  </w:style>
  <w:style w:type="character" w:customStyle="1" w:styleId="UnresolvedMention6">
    <w:name w:val="Unresolved Mention6"/>
    <w:basedOn w:val="DefaultParagraphFont"/>
    <w:uiPriority w:val="99"/>
    <w:semiHidden/>
    <w:unhideWhenUsed/>
    <w:rsid w:val="00FB6FBD"/>
    <w:rPr>
      <w:color w:val="605E5C"/>
      <w:shd w:val="clear" w:color="auto" w:fill="E1DFDD"/>
    </w:rPr>
  </w:style>
  <w:style w:type="character" w:customStyle="1" w:styleId="UnresolvedMention7">
    <w:name w:val="Unresolved Mention7"/>
    <w:basedOn w:val="DefaultParagraphFont"/>
    <w:uiPriority w:val="99"/>
    <w:semiHidden/>
    <w:unhideWhenUsed/>
    <w:rsid w:val="00FE2D62"/>
    <w:rPr>
      <w:color w:val="605E5C"/>
      <w:shd w:val="clear" w:color="auto" w:fill="E1DFDD"/>
    </w:rPr>
  </w:style>
  <w:style w:type="character" w:customStyle="1" w:styleId="UnresolvedMention8">
    <w:name w:val="Unresolved Mention8"/>
    <w:basedOn w:val="DefaultParagraphFont"/>
    <w:uiPriority w:val="99"/>
    <w:semiHidden/>
    <w:unhideWhenUsed/>
    <w:rsid w:val="007015C1"/>
    <w:rPr>
      <w:color w:val="605E5C"/>
      <w:shd w:val="clear" w:color="auto" w:fill="E1DFDD"/>
    </w:rPr>
  </w:style>
  <w:style w:type="character" w:customStyle="1" w:styleId="UnresolvedMention9">
    <w:name w:val="Unresolved Mention9"/>
    <w:basedOn w:val="DefaultParagraphFont"/>
    <w:uiPriority w:val="99"/>
    <w:semiHidden/>
    <w:unhideWhenUsed/>
    <w:rsid w:val="00844FB9"/>
    <w:rPr>
      <w:color w:val="605E5C"/>
      <w:shd w:val="clear" w:color="auto" w:fill="E1DFDD"/>
    </w:rPr>
  </w:style>
  <w:style w:type="paragraph" w:styleId="TOCHeading">
    <w:name w:val="TOC Heading"/>
    <w:basedOn w:val="Heading1"/>
    <w:next w:val="Normal"/>
    <w:uiPriority w:val="39"/>
    <w:unhideWhenUsed/>
    <w:qFormat/>
    <w:rsid w:val="00FC79C1"/>
    <w:pPr>
      <w:keepNext/>
      <w:keepLines/>
      <w:numPr>
        <w:numId w:val="0"/>
      </w:numPr>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paragraph" w:styleId="TOC1">
    <w:name w:val="toc 1"/>
    <w:basedOn w:val="Normal"/>
    <w:next w:val="Normal"/>
    <w:autoRedefine/>
    <w:uiPriority w:val="39"/>
    <w:unhideWhenUsed/>
    <w:rsid w:val="00D342BF"/>
    <w:pPr>
      <w:tabs>
        <w:tab w:val="left" w:pos="1200"/>
        <w:tab w:val="right" w:leader="dot" w:pos="9350"/>
      </w:tabs>
      <w:spacing w:after="0" w:line="240" w:lineRule="auto"/>
      <w:contextualSpacing w:val="0"/>
    </w:pPr>
  </w:style>
  <w:style w:type="paragraph" w:styleId="TOC2">
    <w:name w:val="toc 2"/>
    <w:basedOn w:val="Normal"/>
    <w:next w:val="Normal"/>
    <w:autoRedefine/>
    <w:uiPriority w:val="39"/>
    <w:unhideWhenUsed/>
    <w:rsid w:val="00FC79C1"/>
    <w:pPr>
      <w:spacing w:after="100"/>
      <w:ind w:left="240"/>
    </w:pPr>
  </w:style>
  <w:style w:type="paragraph" w:styleId="TOC3">
    <w:name w:val="toc 3"/>
    <w:basedOn w:val="Normal"/>
    <w:next w:val="Normal"/>
    <w:autoRedefine/>
    <w:uiPriority w:val="39"/>
    <w:unhideWhenUsed/>
    <w:rsid w:val="009C6287"/>
    <w:pPr>
      <w:spacing w:after="100"/>
      <w:ind w:left="480"/>
    </w:pPr>
  </w:style>
  <w:style w:type="character" w:customStyle="1" w:styleId="UnresolvedMention10">
    <w:name w:val="Unresolved Mention10"/>
    <w:basedOn w:val="DefaultParagraphFont"/>
    <w:uiPriority w:val="99"/>
    <w:semiHidden/>
    <w:unhideWhenUsed/>
    <w:rsid w:val="00B0223E"/>
    <w:rPr>
      <w:color w:val="605E5C"/>
      <w:shd w:val="clear" w:color="auto" w:fill="E1DFDD"/>
    </w:rPr>
  </w:style>
  <w:style w:type="paragraph" w:styleId="NoSpacing">
    <w:name w:val="No Spacing"/>
    <w:uiPriority w:val="1"/>
    <w:qFormat/>
    <w:rsid w:val="006A626D"/>
    <w:pPr>
      <w:spacing w:line="240" w:lineRule="auto"/>
      <w:ind w:left="360"/>
      <w:contextualSpacing/>
      <w:jc w:val="both"/>
    </w:pPr>
    <w:rPr>
      <w:rFonts w:ascii="Times New Roman" w:eastAsia="Times New Roman" w:hAnsi="Times New Roman" w:cs="Times New Roman"/>
      <w:sz w:val="24"/>
      <w:szCs w:val="24"/>
    </w:rPr>
  </w:style>
  <w:style w:type="character" w:customStyle="1" w:styleId="creator-type-label">
    <w:name w:val="creator-type-label"/>
    <w:basedOn w:val="DefaultParagraphFont"/>
    <w:rsid w:val="00F55DDA"/>
  </w:style>
  <w:style w:type="character" w:customStyle="1" w:styleId="editorial-type">
    <w:name w:val="editorial-type"/>
    <w:basedOn w:val="DefaultParagraphFont"/>
    <w:rsid w:val="00F55DDA"/>
  </w:style>
  <w:style w:type="character" w:customStyle="1" w:styleId="Heading3Char">
    <w:name w:val="Heading 3 Char"/>
    <w:basedOn w:val="DefaultParagraphFont"/>
    <w:link w:val="Heading3"/>
    <w:uiPriority w:val="9"/>
    <w:rsid w:val="004E02AD"/>
    <w:rPr>
      <w:rFonts w:ascii="Times New Roman" w:eastAsia="Times New Roman" w:hAnsi="Times New Roman" w:cs="Times New Roman"/>
      <w:b/>
      <w:bCs/>
      <w:sz w:val="24"/>
      <w:szCs w:val="24"/>
    </w:rPr>
  </w:style>
  <w:style w:type="character" w:customStyle="1" w:styleId="UnresolvedMention11">
    <w:name w:val="Unresolved Mention11"/>
    <w:basedOn w:val="DefaultParagraphFont"/>
    <w:uiPriority w:val="99"/>
    <w:semiHidden/>
    <w:unhideWhenUsed/>
    <w:rsid w:val="00236A42"/>
    <w:rPr>
      <w:color w:val="605E5C"/>
      <w:shd w:val="clear" w:color="auto" w:fill="E1DFDD"/>
    </w:rPr>
  </w:style>
  <w:style w:type="paragraph" w:styleId="EndnoteText">
    <w:name w:val="endnote text"/>
    <w:basedOn w:val="Normal"/>
    <w:link w:val="EndnoteTextChar"/>
    <w:uiPriority w:val="99"/>
    <w:semiHidden/>
    <w:unhideWhenUsed/>
    <w:rsid w:val="006F46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F462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6F4623"/>
    <w:rPr>
      <w:vertAlign w:val="superscript"/>
    </w:rPr>
  </w:style>
  <w:style w:type="character" w:customStyle="1" w:styleId="UnresolvedMention12">
    <w:name w:val="Unresolved Mention12"/>
    <w:basedOn w:val="DefaultParagraphFont"/>
    <w:uiPriority w:val="99"/>
    <w:semiHidden/>
    <w:unhideWhenUsed/>
    <w:rsid w:val="00525423"/>
    <w:rPr>
      <w:color w:val="605E5C"/>
      <w:shd w:val="clear" w:color="auto" w:fill="E1DFDD"/>
    </w:rPr>
  </w:style>
  <w:style w:type="character" w:customStyle="1" w:styleId="Heading1Char">
    <w:name w:val="Heading 1 Char"/>
    <w:basedOn w:val="DefaultParagraphFont"/>
    <w:link w:val="Heading1"/>
    <w:uiPriority w:val="9"/>
    <w:rsid w:val="00FB57CE"/>
    <w:rPr>
      <w:rFonts w:ascii="Times New Roman" w:eastAsia="Times New Roman" w:hAnsi="Times New Roman" w:cs="Times New Roman"/>
      <w:b/>
      <w:color w:val="000000"/>
      <w:sz w:val="24"/>
      <w:szCs w:val="24"/>
    </w:rPr>
  </w:style>
  <w:style w:type="character" w:customStyle="1" w:styleId="title-text">
    <w:name w:val="title-text"/>
    <w:basedOn w:val="DefaultParagraphFont"/>
    <w:rsid w:val="00FB57CE"/>
  </w:style>
  <w:style w:type="table" w:styleId="TableGrid">
    <w:name w:val="Table Grid"/>
    <w:basedOn w:val="TableNormal"/>
    <w:uiPriority w:val="59"/>
    <w:rsid w:val="002F714B"/>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3">
    <w:name w:val="Unresolved Mention13"/>
    <w:basedOn w:val="DefaultParagraphFont"/>
    <w:uiPriority w:val="99"/>
    <w:semiHidden/>
    <w:unhideWhenUsed/>
    <w:rsid w:val="00345BE5"/>
    <w:rPr>
      <w:color w:val="605E5C"/>
      <w:shd w:val="clear" w:color="auto" w:fill="E1DFDD"/>
    </w:rPr>
  </w:style>
  <w:style w:type="character" w:styleId="PageNumber">
    <w:name w:val="page number"/>
    <w:basedOn w:val="DefaultParagraphFont"/>
    <w:uiPriority w:val="99"/>
    <w:semiHidden/>
    <w:unhideWhenUsed/>
    <w:rsid w:val="000D0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5017">
      <w:bodyDiv w:val="1"/>
      <w:marLeft w:val="0"/>
      <w:marRight w:val="0"/>
      <w:marTop w:val="0"/>
      <w:marBottom w:val="0"/>
      <w:divBdr>
        <w:top w:val="none" w:sz="0" w:space="0" w:color="auto"/>
        <w:left w:val="none" w:sz="0" w:space="0" w:color="auto"/>
        <w:bottom w:val="none" w:sz="0" w:space="0" w:color="auto"/>
        <w:right w:val="none" w:sz="0" w:space="0" w:color="auto"/>
      </w:divBdr>
      <w:divsChild>
        <w:div w:id="387656010">
          <w:marLeft w:val="0"/>
          <w:marRight w:val="0"/>
          <w:marTop w:val="0"/>
          <w:marBottom w:val="0"/>
          <w:divBdr>
            <w:top w:val="none" w:sz="0" w:space="0" w:color="auto"/>
            <w:left w:val="none" w:sz="0" w:space="0" w:color="auto"/>
            <w:bottom w:val="none" w:sz="0" w:space="0" w:color="auto"/>
            <w:right w:val="none" w:sz="0" w:space="0" w:color="auto"/>
          </w:divBdr>
          <w:divsChild>
            <w:div w:id="1866098112">
              <w:marLeft w:val="0"/>
              <w:marRight w:val="0"/>
              <w:marTop w:val="0"/>
              <w:marBottom w:val="0"/>
              <w:divBdr>
                <w:top w:val="none" w:sz="0" w:space="0" w:color="auto"/>
                <w:left w:val="none" w:sz="0" w:space="0" w:color="auto"/>
                <w:bottom w:val="none" w:sz="0" w:space="0" w:color="auto"/>
                <w:right w:val="none" w:sz="0" w:space="0" w:color="auto"/>
              </w:divBdr>
              <w:divsChild>
                <w:div w:id="1945725001">
                  <w:marLeft w:val="0"/>
                  <w:marRight w:val="0"/>
                  <w:marTop w:val="0"/>
                  <w:marBottom w:val="0"/>
                  <w:divBdr>
                    <w:top w:val="none" w:sz="0" w:space="0" w:color="auto"/>
                    <w:left w:val="none" w:sz="0" w:space="0" w:color="auto"/>
                    <w:bottom w:val="none" w:sz="0" w:space="0" w:color="auto"/>
                    <w:right w:val="none" w:sz="0" w:space="0" w:color="auto"/>
                  </w:divBdr>
                  <w:divsChild>
                    <w:div w:id="63958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90683">
      <w:bodyDiv w:val="1"/>
      <w:marLeft w:val="0"/>
      <w:marRight w:val="0"/>
      <w:marTop w:val="0"/>
      <w:marBottom w:val="0"/>
      <w:divBdr>
        <w:top w:val="none" w:sz="0" w:space="0" w:color="auto"/>
        <w:left w:val="none" w:sz="0" w:space="0" w:color="auto"/>
        <w:bottom w:val="none" w:sz="0" w:space="0" w:color="auto"/>
        <w:right w:val="none" w:sz="0" w:space="0" w:color="auto"/>
      </w:divBdr>
    </w:div>
    <w:div w:id="220677522">
      <w:bodyDiv w:val="1"/>
      <w:marLeft w:val="0"/>
      <w:marRight w:val="0"/>
      <w:marTop w:val="0"/>
      <w:marBottom w:val="0"/>
      <w:divBdr>
        <w:top w:val="none" w:sz="0" w:space="0" w:color="auto"/>
        <w:left w:val="none" w:sz="0" w:space="0" w:color="auto"/>
        <w:bottom w:val="none" w:sz="0" w:space="0" w:color="auto"/>
        <w:right w:val="none" w:sz="0" w:space="0" w:color="auto"/>
      </w:divBdr>
    </w:div>
    <w:div w:id="221252111">
      <w:bodyDiv w:val="1"/>
      <w:marLeft w:val="0"/>
      <w:marRight w:val="0"/>
      <w:marTop w:val="0"/>
      <w:marBottom w:val="0"/>
      <w:divBdr>
        <w:top w:val="none" w:sz="0" w:space="0" w:color="auto"/>
        <w:left w:val="none" w:sz="0" w:space="0" w:color="auto"/>
        <w:bottom w:val="none" w:sz="0" w:space="0" w:color="auto"/>
        <w:right w:val="none" w:sz="0" w:space="0" w:color="auto"/>
      </w:divBdr>
    </w:div>
    <w:div w:id="340550196">
      <w:bodyDiv w:val="1"/>
      <w:marLeft w:val="0"/>
      <w:marRight w:val="0"/>
      <w:marTop w:val="0"/>
      <w:marBottom w:val="0"/>
      <w:divBdr>
        <w:top w:val="none" w:sz="0" w:space="0" w:color="auto"/>
        <w:left w:val="none" w:sz="0" w:space="0" w:color="auto"/>
        <w:bottom w:val="none" w:sz="0" w:space="0" w:color="auto"/>
        <w:right w:val="none" w:sz="0" w:space="0" w:color="auto"/>
      </w:divBdr>
    </w:div>
    <w:div w:id="350911765">
      <w:bodyDiv w:val="1"/>
      <w:marLeft w:val="0"/>
      <w:marRight w:val="0"/>
      <w:marTop w:val="0"/>
      <w:marBottom w:val="0"/>
      <w:divBdr>
        <w:top w:val="none" w:sz="0" w:space="0" w:color="auto"/>
        <w:left w:val="none" w:sz="0" w:space="0" w:color="auto"/>
        <w:bottom w:val="none" w:sz="0" w:space="0" w:color="auto"/>
        <w:right w:val="none" w:sz="0" w:space="0" w:color="auto"/>
      </w:divBdr>
    </w:div>
    <w:div w:id="504709936">
      <w:bodyDiv w:val="1"/>
      <w:marLeft w:val="0"/>
      <w:marRight w:val="0"/>
      <w:marTop w:val="0"/>
      <w:marBottom w:val="0"/>
      <w:divBdr>
        <w:top w:val="none" w:sz="0" w:space="0" w:color="auto"/>
        <w:left w:val="none" w:sz="0" w:space="0" w:color="auto"/>
        <w:bottom w:val="none" w:sz="0" w:space="0" w:color="auto"/>
        <w:right w:val="none" w:sz="0" w:space="0" w:color="auto"/>
      </w:divBdr>
    </w:div>
    <w:div w:id="608926785">
      <w:bodyDiv w:val="1"/>
      <w:marLeft w:val="0"/>
      <w:marRight w:val="0"/>
      <w:marTop w:val="0"/>
      <w:marBottom w:val="0"/>
      <w:divBdr>
        <w:top w:val="none" w:sz="0" w:space="0" w:color="auto"/>
        <w:left w:val="none" w:sz="0" w:space="0" w:color="auto"/>
        <w:bottom w:val="none" w:sz="0" w:space="0" w:color="auto"/>
        <w:right w:val="none" w:sz="0" w:space="0" w:color="auto"/>
      </w:divBdr>
      <w:divsChild>
        <w:div w:id="1509365285">
          <w:marLeft w:val="0"/>
          <w:marRight w:val="0"/>
          <w:marTop w:val="0"/>
          <w:marBottom w:val="0"/>
          <w:divBdr>
            <w:top w:val="none" w:sz="0" w:space="0" w:color="auto"/>
            <w:left w:val="none" w:sz="0" w:space="0" w:color="auto"/>
            <w:bottom w:val="none" w:sz="0" w:space="0" w:color="auto"/>
            <w:right w:val="none" w:sz="0" w:space="0" w:color="auto"/>
          </w:divBdr>
          <w:divsChild>
            <w:div w:id="2128741352">
              <w:marLeft w:val="0"/>
              <w:marRight w:val="0"/>
              <w:marTop w:val="0"/>
              <w:marBottom w:val="0"/>
              <w:divBdr>
                <w:top w:val="none" w:sz="0" w:space="0" w:color="auto"/>
                <w:left w:val="none" w:sz="0" w:space="0" w:color="auto"/>
                <w:bottom w:val="none" w:sz="0" w:space="0" w:color="auto"/>
                <w:right w:val="none" w:sz="0" w:space="0" w:color="auto"/>
              </w:divBdr>
              <w:divsChild>
                <w:div w:id="1553690712">
                  <w:marLeft w:val="0"/>
                  <w:marRight w:val="0"/>
                  <w:marTop w:val="0"/>
                  <w:marBottom w:val="0"/>
                  <w:divBdr>
                    <w:top w:val="none" w:sz="0" w:space="0" w:color="auto"/>
                    <w:left w:val="none" w:sz="0" w:space="0" w:color="auto"/>
                    <w:bottom w:val="none" w:sz="0" w:space="0" w:color="auto"/>
                    <w:right w:val="none" w:sz="0" w:space="0" w:color="auto"/>
                  </w:divBdr>
                  <w:divsChild>
                    <w:div w:id="21320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5099">
      <w:bodyDiv w:val="1"/>
      <w:marLeft w:val="0"/>
      <w:marRight w:val="0"/>
      <w:marTop w:val="0"/>
      <w:marBottom w:val="0"/>
      <w:divBdr>
        <w:top w:val="none" w:sz="0" w:space="0" w:color="auto"/>
        <w:left w:val="none" w:sz="0" w:space="0" w:color="auto"/>
        <w:bottom w:val="none" w:sz="0" w:space="0" w:color="auto"/>
        <w:right w:val="none" w:sz="0" w:space="0" w:color="auto"/>
      </w:divBdr>
    </w:div>
    <w:div w:id="777606006">
      <w:bodyDiv w:val="1"/>
      <w:marLeft w:val="0"/>
      <w:marRight w:val="0"/>
      <w:marTop w:val="0"/>
      <w:marBottom w:val="0"/>
      <w:divBdr>
        <w:top w:val="none" w:sz="0" w:space="0" w:color="auto"/>
        <w:left w:val="none" w:sz="0" w:space="0" w:color="auto"/>
        <w:bottom w:val="none" w:sz="0" w:space="0" w:color="auto"/>
        <w:right w:val="none" w:sz="0" w:space="0" w:color="auto"/>
      </w:divBdr>
      <w:divsChild>
        <w:div w:id="372464989">
          <w:marLeft w:val="0"/>
          <w:marRight w:val="0"/>
          <w:marTop w:val="0"/>
          <w:marBottom w:val="0"/>
          <w:divBdr>
            <w:top w:val="none" w:sz="0" w:space="0" w:color="auto"/>
            <w:left w:val="none" w:sz="0" w:space="0" w:color="auto"/>
            <w:bottom w:val="none" w:sz="0" w:space="0" w:color="auto"/>
            <w:right w:val="none" w:sz="0" w:space="0" w:color="auto"/>
          </w:divBdr>
          <w:divsChild>
            <w:div w:id="677585182">
              <w:marLeft w:val="0"/>
              <w:marRight w:val="0"/>
              <w:marTop w:val="0"/>
              <w:marBottom w:val="0"/>
              <w:divBdr>
                <w:top w:val="none" w:sz="0" w:space="0" w:color="auto"/>
                <w:left w:val="none" w:sz="0" w:space="0" w:color="auto"/>
                <w:bottom w:val="none" w:sz="0" w:space="0" w:color="auto"/>
                <w:right w:val="none" w:sz="0" w:space="0" w:color="auto"/>
              </w:divBdr>
            </w:div>
          </w:divsChild>
        </w:div>
        <w:div w:id="1068000093">
          <w:marLeft w:val="0"/>
          <w:marRight w:val="0"/>
          <w:marTop w:val="0"/>
          <w:marBottom w:val="0"/>
          <w:divBdr>
            <w:top w:val="none" w:sz="0" w:space="0" w:color="auto"/>
            <w:left w:val="none" w:sz="0" w:space="0" w:color="auto"/>
            <w:bottom w:val="none" w:sz="0" w:space="0" w:color="auto"/>
            <w:right w:val="none" w:sz="0" w:space="0" w:color="auto"/>
          </w:divBdr>
          <w:divsChild>
            <w:div w:id="1221019021">
              <w:marLeft w:val="0"/>
              <w:marRight w:val="0"/>
              <w:marTop w:val="0"/>
              <w:marBottom w:val="0"/>
              <w:divBdr>
                <w:top w:val="none" w:sz="0" w:space="0" w:color="auto"/>
                <w:left w:val="none" w:sz="0" w:space="0" w:color="auto"/>
                <w:bottom w:val="none" w:sz="0" w:space="0" w:color="auto"/>
                <w:right w:val="none" w:sz="0" w:space="0" w:color="auto"/>
              </w:divBdr>
              <w:divsChild>
                <w:div w:id="1071003680">
                  <w:marLeft w:val="0"/>
                  <w:marRight w:val="0"/>
                  <w:marTop w:val="0"/>
                  <w:marBottom w:val="0"/>
                  <w:divBdr>
                    <w:top w:val="none" w:sz="0" w:space="0" w:color="auto"/>
                    <w:left w:val="none" w:sz="0" w:space="0" w:color="auto"/>
                    <w:bottom w:val="none" w:sz="0" w:space="0" w:color="auto"/>
                    <w:right w:val="none" w:sz="0" w:space="0" w:color="auto"/>
                  </w:divBdr>
                  <w:divsChild>
                    <w:div w:id="412630906">
                      <w:marLeft w:val="0"/>
                      <w:marRight w:val="0"/>
                      <w:marTop w:val="0"/>
                      <w:marBottom w:val="0"/>
                      <w:divBdr>
                        <w:top w:val="none" w:sz="0" w:space="0" w:color="auto"/>
                        <w:left w:val="none" w:sz="0" w:space="0" w:color="auto"/>
                        <w:bottom w:val="none" w:sz="0" w:space="0" w:color="auto"/>
                        <w:right w:val="none" w:sz="0" w:space="0" w:color="auto"/>
                      </w:divBdr>
                      <w:divsChild>
                        <w:div w:id="897008118">
                          <w:marLeft w:val="0"/>
                          <w:marRight w:val="0"/>
                          <w:marTop w:val="0"/>
                          <w:marBottom w:val="0"/>
                          <w:divBdr>
                            <w:top w:val="none" w:sz="0" w:space="0" w:color="auto"/>
                            <w:left w:val="none" w:sz="0" w:space="0" w:color="auto"/>
                            <w:bottom w:val="none" w:sz="0" w:space="0" w:color="auto"/>
                            <w:right w:val="none" w:sz="0" w:space="0" w:color="auto"/>
                          </w:divBdr>
                          <w:divsChild>
                            <w:div w:id="169538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739375">
          <w:marLeft w:val="0"/>
          <w:marRight w:val="0"/>
          <w:marTop w:val="0"/>
          <w:marBottom w:val="0"/>
          <w:divBdr>
            <w:top w:val="none" w:sz="0" w:space="0" w:color="auto"/>
            <w:left w:val="none" w:sz="0" w:space="0" w:color="auto"/>
            <w:bottom w:val="none" w:sz="0" w:space="0" w:color="auto"/>
            <w:right w:val="none" w:sz="0" w:space="0" w:color="auto"/>
          </w:divBdr>
          <w:divsChild>
            <w:div w:id="1035739500">
              <w:marLeft w:val="0"/>
              <w:marRight w:val="0"/>
              <w:marTop w:val="0"/>
              <w:marBottom w:val="0"/>
              <w:divBdr>
                <w:top w:val="none" w:sz="0" w:space="0" w:color="auto"/>
                <w:left w:val="none" w:sz="0" w:space="0" w:color="auto"/>
                <w:bottom w:val="none" w:sz="0" w:space="0" w:color="auto"/>
                <w:right w:val="none" w:sz="0" w:space="0" w:color="auto"/>
              </w:divBdr>
              <w:divsChild>
                <w:div w:id="1570460799">
                  <w:marLeft w:val="0"/>
                  <w:marRight w:val="0"/>
                  <w:marTop w:val="0"/>
                  <w:marBottom w:val="0"/>
                  <w:divBdr>
                    <w:top w:val="none" w:sz="0" w:space="0" w:color="auto"/>
                    <w:left w:val="none" w:sz="0" w:space="0" w:color="auto"/>
                    <w:bottom w:val="none" w:sz="0" w:space="0" w:color="auto"/>
                    <w:right w:val="none" w:sz="0" w:space="0" w:color="auto"/>
                  </w:divBdr>
                  <w:divsChild>
                    <w:div w:id="895630329">
                      <w:marLeft w:val="0"/>
                      <w:marRight w:val="0"/>
                      <w:marTop w:val="0"/>
                      <w:marBottom w:val="0"/>
                      <w:divBdr>
                        <w:top w:val="none" w:sz="0" w:space="0" w:color="auto"/>
                        <w:left w:val="none" w:sz="0" w:space="0" w:color="auto"/>
                        <w:bottom w:val="none" w:sz="0" w:space="0" w:color="auto"/>
                        <w:right w:val="none" w:sz="0" w:space="0" w:color="auto"/>
                      </w:divBdr>
                      <w:divsChild>
                        <w:div w:id="370769650">
                          <w:marLeft w:val="0"/>
                          <w:marRight w:val="0"/>
                          <w:marTop w:val="0"/>
                          <w:marBottom w:val="0"/>
                          <w:divBdr>
                            <w:top w:val="none" w:sz="0" w:space="0" w:color="auto"/>
                            <w:left w:val="none" w:sz="0" w:space="0" w:color="auto"/>
                            <w:bottom w:val="none" w:sz="0" w:space="0" w:color="auto"/>
                            <w:right w:val="none" w:sz="0" w:space="0" w:color="auto"/>
                          </w:divBdr>
                          <w:divsChild>
                            <w:div w:id="75047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8002640">
          <w:marLeft w:val="0"/>
          <w:marRight w:val="0"/>
          <w:marTop w:val="0"/>
          <w:marBottom w:val="0"/>
          <w:divBdr>
            <w:top w:val="none" w:sz="0" w:space="0" w:color="auto"/>
            <w:left w:val="none" w:sz="0" w:space="0" w:color="auto"/>
            <w:bottom w:val="none" w:sz="0" w:space="0" w:color="auto"/>
            <w:right w:val="none" w:sz="0" w:space="0" w:color="auto"/>
          </w:divBdr>
          <w:divsChild>
            <w:div w:id="20803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65489">
      <w:bodyDiv w:val="1"/>
      <w:marLeft w:val="0"/>
      <w:marRight w:val="0"/>
      <w:marTop w:val="0"/>
      <w:marBottom w:val="0"/>
      <w:divBdr>
        <w:top w:val="none" w:sz="0" w:space="0" w:color="auto"/>
        <w:left w:val="none" w:sz="0" w:space="0" w:color="auto"/>
        <w:bottom w:val="none" w:sz="0" w:space="0" w:color="auto"/>
        <w:right w:val="none" w:sz="0" w:space="0" w:color="auto"/>
      </w:divBdr>
    </w:div>
    <w:div w:id="813448194">
      <w:bodyDiv w:val="1"/>
      <w:marLeft w:val="0"/>
      <w:marRight w:val="0"/>
      <w:marTop w:val="0"/>
      <w:marBottom w:val="0"/>
      <w:divBdr>
        <w:top w:val="none" w:sz="0" w:space="0" w:color="auto"/>
        <w:left w:val="none" w:sz="0" w:space="0" w:color="auto"/>
        <w:bottom w:val="none" w:sz="0" w:space="0" w:color="auto"/>
        <w:right w:val="none" w:sz="0" w:space="0" w:color="auto"/>
      </w:divBdr>
    </w:div>
    <w:div w:id="875849247">
      <w:bodyDiv w:val="1"/>
      <w:marLeft w:val="0"/>
      <w:marRight w:val="0"/>
      <w:marTop w:val="0"/>
      <w:marBottom w:val="0"/>
      <w:divBdr>
        <w:top w:val="none" w:sz="0" w:space="0" w:color="auto"/>
        <w:left w:val="none" w:sz="0" w:space="0" w:color="auto"/>
        <w:bottom w:val="none" w:sz="0" w:space="0" w:color="auto"/>
        <w:right w:val="none" w:sz="0" w:space="0" w:color="auto"/>
      </w:divBdr>
    </w:div>
    <w:div w:id="896210674">
      <w:bodyDiv w:val="1"/>
      <w:marLeft w:val="0"/>
      <w:marRight w:val="0"/>
      <w:marTop w:val="0"/>
      <w:marBottom w:val="0"/>
      <w:divBdr>
        <w:top w:val="none" w:sz="0" w:space="0" w:color="auto"/>
        <w:left w:val="none" w:sz="0" w:space="0" w:color="auto"/>
        <w:bottom w:val="none" w:sz="0" w:space="0" w:color="auto"/>
        <w:right w:val="none" w:sz="0" w:space="0" w:color="auto"/>
      </w:divBdr>
    </w:div>
    <w:div w:id="934243045">
      <w:bodyDiv w:val="1"/>
      <w:marLeft w:val="0"/>
      <w:marRight w:val="0"/>
      <w:marTop w:val="0"/>
      <w:marBottom w:val="0"/>
      <w:divBdr>
        <w:top w:val="none" w:sz="0" w:space="0" w:color="auto"/>
        <w:left w:val="none" w:sz="0" w:space="0" w:color="auto"/>
        <w:bottom w:val="none" w:sz="0" w:space="0" w:color="auto"/>
        <w:right w:val="none" w:sz="0" w:space="0" w:color="auto"/>
      </w:divBdr>
    </w:div>
    <w:div w:id="1188369899">
      <w:bodyDiv w:val="1"/>
      <w:marLeft w:val="0"/>
      <w:marRight w:val="0"/>
      <w:marTop w:val="0"/>
      <w:marBottom w:val="0"/>
      <w:divBdr>
        <w:top w:val="none" w:sz="0" w:space="0" w:color="auto"/>
        <w:left w:val="none" w:sz="0" w:space="0" w:color="auto"/>
        <w:bottom w:val="none" w:sz="0" w:space="0" w:color="auto"/>
        <w:right w:val="none" w:sz="0" w:space="0" w:color="auto"/>
      </w:divBdr>
      <w:divsChild>
        <w:div w:id="1973750943">
          <w:marLeft w:val="0"/>
          <w:marRight w:val="0"/>
          <w:marTop w:val="0"/>
          <w:marBottom w:val="0"/>
          <w:divBdr>
            <w:top w:val="none" w:sz="0" w:space="0" w:color="auto"/>
            <w:left w:val="none" w:sz="0" w:space="0" w:color="auto"/>
            <w:bottom w:val="none" w:sz="0" w:space="0" w:color="auto"/>
            <w:right w:val="none" w:sz="0" w:space="0" w:color="auto"/>
          </w:divBdr>
          <w:divsChild>
            <w:div w:id="1970085896">
              <w:marLeft w:val="0"/>
              <w:marRight w:val="0"/>
              <w:marTop w:val="0"/>
              <w:marBottom w:val="0"/>
              <w:divBdr>
                <w:top w:val="none" w:sz="0" w:space="0" w:color="auto"/>
                <w:left w:val="none" w:sz="0" w:space="0" w:color="auto"/>
                <w:bottom w:val="none" w:sz="0" w:space="0" w:color="auto"/>
                <w:right w:val="none" w:sz="0" w:space="0" w:color="auto"/>
              </w:divBdr>
              <w:divsChild>
                <w:div w:id="164523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906654">
      <w:bodyDiv w:val="1"/>
      <w:marLeft w:val="0"/>
      <w:marRight w:val="0"/>
      <w:marTop w:val="0"/>
      <w:marBottom w:val="0"/>
      <w:divBdr>
        <w:top w:val="none" w:sz="0" w:space="0" w:color="auto"/>
        <w:left w:val="none" w:sz="0" w:space="0" w:color="auto"/>
        <w:bottom w:val="none" w:sz="0" w:space="0" w:color="auto"/>
        <w:right w:val="none" w:sz="0" w:space="0" w:color="auto"/>
      </w:divBdr>
    </w:div>
    <w:div w:id="1427723520">
      <w:bodyDiv w:val="1"/>
      <w:marLeft w:val="0"/>
      <w:marRight w:val="0"/>
      <w:marTop w:val="0"/>
      <w:marBottom w:val="0"/>
      <w:divBdr>
        <w:top w:val="none" w:sz="0" w:space="0" w:color="auto"/>
        <w:left w:val="none" w:sz="0" w:space="0" w:color="auto"/>
        <w:bottom w:val="none" w:sz="0" w:space="0" w:color="auto"/>
        <w:right w:val="none" w:sz="0" w:space="0" w:color="auto"/>
      </w:divBdr>
    </w:div>
    <w:div w:id="1430928801">
      <w:bodyDiv w:val="1"/>
      <w:marLeft w:val="0"/>
      <w:marRight w:val="0"/>
      <w:marTop w:val="0"/>
      <w:marBottom w:val="0"/>
      <w:divBdr>
        <w:top w:val="none" w:sz="0" w:space="0" w:color="auto"/>
        <w:left w:val="none" w:sz="0" w:space="0" w:color="auto"/>
        <w:bottom w:val="none" w:sz="0" w:space="0" w:color="auto"/>
        <w:right w:val="none" w:sz="0" w:space="0" w:color="auto"/>
      </w:divBdr>
    </w:div>
    <w:div w:id="1442147985">
      <w:bodyDiv w:val="1"/>
      <w:marLeft w:val="0"/>
      <w:marRight w:val="0"/>
      <w:marTop w:val="0"/>
      <w:marBottom w:val="0"/>
      <w:divBdr>
        <w:top w:val="none" w:sz="0" w:space="0" w:color="auto"/>
        <w:left w:val="none" w:sz="0" w:space="0" w:color="auto"/>
        <w:bottom w:val="none" w:sz="0" w:space="0" w:color="auto"/>
        <w:right w:val="none" w:sz="0" w:space="0" w:color="auto"/>
      </w:divBdr>
    </w:div>
    <w:div w:id="1540239914">
      <w:bodyDiv w:val="1"/>
      <w:marLeft w:val="0"/>
      <w:marRight w:val="0"/>
      <w:marTop w:val="0"/>
      <w:marBottom w:val="0"/>
      <w:divBdr>
        <w:top w:val="none" w:sz="0" w:space="0" w:color="auto"/>
        <w:left w:val="none" w:sz="0" w:space="0" w:color="auto"/>
        <w:bottom w:val="none" w:sz="0" w:space="0" w:color="auto"/>
        <w:right w:val="none" w:sz="0" w:space="0" w:color="auto"/>
      </w:divBdr>
      <w:divsChild>
        <w:div w:id="1243219444">
          <w:marLeft w:val="0"/>
          <w:marRight w:val="0"/>
          <w:marTop w:val="0"/>
          <w:marBottom w:val="0"/>
          <w:divBdr>
            <w:top w:val="none" w:sz="0" w:space="0" w:color="auto"/>
            <w:left w:val="none" w:sz="0" w:space="0" w:color="auto"/>
            <w:bottom w:val="none" w:sz="0" w:space="0" w:color="auto"/>
            <w:right w:val="none" w:sz="0" w:space="0" w:color="auto"/>
          </w:divBdr>
        </w:div>
        <w:div w:id="1651135339">
          <w:marLeft w:val="0"/>
          <w:marRight w:val="0"/>
          <w:marTop w:val="0"/>
          <w:marBottom w:val="0"/>
          <w:divBdr>
            <w:top w:val="none" w:sz="0" w:space="0" w:color="auto"/>
            <w:left w:val="none" w:sz="0" w:space="0" w:color="auto"/>
            <w:bottom w:val="none" w:sz="0" w:space="0" w:color="auto"/>
            <w:right w:val="none" w:sz="0" w:space="0" w:color="auto"/>
          </w:divBdr>
        </w:div>
      </w:divsChild>
    </w:div>
    <w:div w:id="1568615641">
      <w:bodyDiv w:val="1"/>
      <w:marLeft w:val="0"/>
      <w:marRight w:val="0"/>
      <w:marTop w:val="0"/>
      <w:marBottom w:val="0"/>
      <w:divBdr>
        <w:top w:val="none" w:sz="0" w:space="0" w:color="auto"/>
        <w:left w:val="none" w:sz="0" w:space="0" w:color="auto"/>
        <w:bottom w:val="none" w:sz="0" w:space="0" w:color="auto"/>
        <w:right w:val="none" w:sz="0" w:space="0" w:color="auto"/>
      </w:divBdr>
    </w:div>
    <w:div w:id="1602448225">
      <w:bodyDiv w:val="1"/>
      <w:marLeft w:val="0"/>
      <w:marRight w:val="0"/>
      <w:marTop w:val="0"/>
      <w:marBottom w:val="0"/>
      <w:divBdr>
        <w:top w:val="none" w:sz="0" w:space="0" w:color="auto"/>
        <w:left w:val="none" w:sz="0" w:space="0" w:color="auto"/>
        <w:bottom w:val="none" w:sz="0" w:space="0" w:color="auto"/>
        <w:right w:val="none" w:sz="0" w:space="0" w:color="auto"/>
      </w:divBdr>
      <w:divsChild>
        <w:div w:id="961226177">
          <w:marLeft w:val="0"/>
          <w:marRight w:val="0"/>
          <w:marTop w:val="0"/>
          <w:marBottom w:val="0"/>
          <w:divBdr>
            <w:top w:val="none" w:sz="0" w:space="0" w:color="auto"/>
            <w:left w:val="none" w:sz="0" w:space="0" w:color="auto"/>
            <w:bottom w:val="none" w:sz="0" w:space="0" w:color="auto"/>
            <w:right w:val="none" w:sz="0" w:space="0" w:color="auto"/>
          </w:divBdr>
          <w:divsChild>
            <w:div w:id="2082749235">
              <w:marLeft w:val="0"/>
              <w:marRight w:val="0"/>
              <w:marTop w:val="0"/>
              <w:marBottom w:val="0"/>
              <w:divBdr>
                <w:top w:val="none" w:sz="0" w:space="0" w:color="auto"/>
                <w:left w:val="none" w:sz="0" w:space="0" w:color="auto"/>
                <w:bottom w:val="none" w:sz="0" w:space="0" w:color="auto"/>
                <w:right w:val="none" w:sz="0" w:space="0" w:color="auto"/>
              </w:divBdr>
              <w:divsChild>
                <w:div w:id="1134757044">
                  <w:marLeft w:val="0"/>
                  <w:marRight w:val="0"/>
                  <w:marTop w:val="0"/>
                  <w:marBottom w:val="0"/>
                  <w:divBdr>
                    <w:top w:val="none" w:sz="0" w:space="0" w:color="auto"/>
                    <w:left w:val="none" w:sz="0" w:space="0" w:color="auto"/>
                    <w:bottom w:val="none" w:sz="0" w:space="0" w:color="auto"/>
                    <w:right w:val="none" w:sz="0" w:space="0" w:color="auto"/>
                  </w:divBdr>
                  <w:divsChild>
                    <w:div w:id="200110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698779">
      <w:bodyDiv w:val="1"/>
      <w:marLeft w:val="0"/>
      <w:marRight w:val="0"/>
      <w:marTop w:val="0"/>
      <w:marBottom w:val="0"/>
      <w:divBdr>
        <w:top w:val="none" w:sz="0" w:space="0" w:color="auto"/>
        <w:left w:val="none" w:sz="0" w:space="0" w:color="auto"/>
        <w:bottom w:val="none" w:sz="0" w:space="0" w:color="auto"/>
        <w:right w:val="none" w:sz="0" w:space="0" w:color="auto"/>
      </w:divBdr>
    </w:div>
    <w:div w:id="1694957725">
      <w:bodyDiv w:val="1"/>
      <w:marLeft w:val="0"/>
      <w:marRight w:val="0"/>
      <w:marTop w:val="0"/>
      <w:marBottom w:val="0"/>
      <w:divBdr>
        <w:top w:val="none" w:sz="0" w:space="0" w:color="auto"/>
        <w:left w:val="none" w:sz="0" w:space="0" w:color="auto"/>
        <w:bottom w:val="none" w:sz="0" w:space="0" w:color="auto"/>
        <w:right w:val="none" w:sz="0" w:space="0" w:color="auto"/>
      </w:divBdr>
    </w:div>
    <w:div w:id="1698313113">
      <w:bodyDiv w:val="1"/>
      <w:marLeft w:val="0"/>
      <w:marRight w:val="0"/>
      <w:marTop w:val="0"/>
      <w:marBottom w:val="0"/>
      <w:divBdr>
        <w:top w:val="none" w:sz="0" w:space="0" w:color="auto"/>
        <w:left w:val="none" w:sz="0" w:space="0" w:color="auto"/>
        <w:bottom w:val="none" w:sz="0" w:space="0" w:color="auto"/>
        <w:right w:val="none" w:sz="0" w:space="0" w:color="auto"/>
      </w:divBdr>
    </w:div>
    <w:div w:id="1756827658">
      <w:bodyDiv w:val="1"/>
      <w:marLeft w:val="0"/>
      <w:marRight w:val="0"/>
      <w:marTop w:val="0"/>
      <w:marBottom w:val="0"/>
      <w:divBdr>
        <w:top w:val="none" w:sz="0" w:space="0" w:color="auto"/>
        <w:left w:val="none" w:sz="0" w:space="0" w:color="auto"/>
        <w:bottom w:val="none" w:sz="0" w:space="0" w:color="auto"/>
        <w:right w:val="none" w:sz="0" w:space="0" w:color="auto"/>
      </w:divBdr>
    </w:div>
    <w:div w:id="1761216910">
      <w:bodyDiv w:val="1"/>
      <w:marLeft w:val="0"/>
      <w:marRight w:val="0"/>
      <w:marTop w:val="0"/>
      <w:marBottom w:val="0"/>
      <w:divBdr>
        <w:top w:val="none" w:sz="0" w:space="0" w:color="auto"/>
        <w:left w:val="none" w:sz="0" w:space="0" w:color="auto"/>
        <w:bottom w:val="none" w:sz="0" w:space="0" w:color="auto"/>
        <w:right w:val="none" w:sz="0" w:space="0" w:color="auto"/>
      </w:divBdr>
    </w:div>
    <w:div w:id="1770807567">
      <w:bodyDiv w:val="1"/>
      <w:marLeft w:val="0"/>
      <w:marRight w:val="0"/>
      <w:marTop w:val="0"/>
      <w:marBottom w:val="0"/>
      <w:divBdr>
        <w:top w:val="none" w:sz="0" w:space="0" w:color="auto"/>
        <w:left w:val="none" w:sz="0" w:space="0" w:color="auto"/>
        <w:bottom w:val="none" w:sz="0" w:space="0" w:color="auto"/>
        <w:right w:val="none" w:sz="0" w:space="0" w:color="auto"/>
      </w:divBdr>
    </w:div>
    <w:div w:id="1793206047">
      <w:bodyDiv w:val="1"/>
      <w:marLeft w:val="0"/>
      <w:marRight w:val="0"/>
      <w:marTop w:val="0"/>
      <w:marBottom w:val="0"/>
      <w:divBdr>
        <w:top w:val="none" w:sz="0" w:space="0" w:color="auto"/>
        <w:left w:val="none" w:sz="0" w:space="0" w:color="auto"/>
        <w:bottom w:val="none" w:sz="0" w:space="0" w:color="auto"/>
        <w:right w:val="none" w:sz="0" w:space="0" w:color="auto"/>
      </w:divBdr>
    </w:div>
    <w:div w:id="1878813632">
      <w:bodyDiv w:val="1"/>
      <w:marLeft w:val="0"/>
      <w:marRight w:val="0"/>
      <w:marTop w:val="0"/>
      <w:marBottom w:val="0"/>
      <w:divBdr>
        <w:top w:val="none" w:sz="0" w:space="0" w:color="auto"/>
        <w:left w:val="none" w:sz="0" w:space="0" w:color="auto"/>
        <w:bottom w:val="none" w:sz="0" w:space="0" w:color="auto"/>
        <w:right w:val="none" w:sz="0" w:space="0" w:color="auto"/>
      </w:divBdr>
    </w:div>
    <w:div w:id="1883713024">
      <w:bodyDiv w:val="1"/>
      <w:marLeft w:val="0"/>
      <w:marRight w:val="0"/>
      <w:marTop w:val="0"/>
      <w:marBottom w:val="0"/>
      <w:divBdr>
        <w:top w:val="none" w:sz="0" w:space="0" w:color="auto"/>
        <w:left w:val="none" w:sz="0" w:space="0" w:color="auto"/>
        <w:bottom w:val="none" w:sz="0" w:space="0" w:color="auto"/>
        <w:right w:val="none" w:sz="0" w:space="0" w:color="auto"/>
      </w:divBdr>
    </w:div>
    <w:div w:id="1909614245">
      <w:bodyDiv w:val="1"/>
      <w:marLeft w:val="0"/>
      <w:marRight w:val="0"/>
      <w:marTop w:val="0"/>
      <w:marBottom w:val="0"/>
      <w:divBdr>
        <w:top w:val="none" w:sz="0" w:space="0" w:color="auto"/>
        <w:left w:val="none" w:sz="0" w:space="0" w:color="auto"/>
        <w:bottom w:val="none" w:sz="0" w:space="0" w:color="auto"/>
        <w:right w:val="none" w:sz="0" w:space="0" w:color="auto"/>
      </w:divBdr>
    </w:div>
    <w:div w:id="2087877632">
      <w:bodyDiv w:val="1"/>
      <w:marLeft w:val="0"/>
      <w:marRight w:val="0"/>
      <w:marTop w:val="0"/>
      <w:marBottom w:val="0"/>
      <w:divBdr>
        <w:top w:val="none" w:sz="0" w:space="0" w:color="auto"/>
        <w:left w:val="none" w:sz="0" w:space="0" w:color="auto"/>
        <w:bottom w:val="none" w:sz="0" w:space="0" w:color="auto"/>
        <w:right w:val="none" w:sz="0" w:space="0" w:color="auto"/>
      </w:divBdr>
    </w:div>
    <w:div w:id="2089184503">
      <w:bodyDiv w:val="1"/>
      <w:marLeft w:val="0"/>
      <w:marRight w:val="0"/>
      <w:marTop w:val="0"/>
      <w:marBottom w:val="0"/>
      <w:divBdr>
        <w:top w:val="none" w:sz="0" w:space="0" w:color="auto"/>
        <w:left w:val="none" w:sz="0" w:space="0" w:color="auto"/>
        <w:bottom w:val="none" w:sz="0" w:space="0" w:color="auto"/>
        <w:right w:val="none" w:sz="0" w:space="0" w:color="auto"/>
      </w:divBdr>
    </w:div>
    <w:div w:id="2116754708">
      <w:bodyDiv w:val="1"/>
      <w:marLeft w:val="0"/>
      <w:marRight w:val="0"/>
      <w:marTop w:val="0"/>
      <w:marBottom w:val="0"/>
      <w:divBdr>
        <w:top w:val="none" w:sz="0" w:space="0" w:color="auto"/>
        <w:left w:val="none" w:sz="0" w:space="0" w:color="auto"/>
        <w:bottom w:val="none" w:sz="0" w:space="0" w:color="auto"/>
        <w:right w:val="none" w:sz="0" w:space="0" w:color="auto"/>
      </w:divBdr>
    </w:div>
    <w:div w:id="2119138472">
      <w:bodyDiv w:val="1"/>
      <w:marLeft w:val="0"/>
      <w:marRight w:val="0"/>
      <w:marTop w:val="0"/>
      <w:marBottom w:val="0"/>
      <w:divBdr>
        <w:top w:val="none" w:sz="0" w:space="0" w:color="auto"/>
        <w:left w:val="none" w:sz="0" w:space="0" w:color="auto"/>
        <w:bottom w:val="none" w:sz="0" w:space="0" w:color="auto"/>
        <w:right w:val="none" w:sz="0" w:space="0" w:color="auto"/>
      </w:divBdr>
    </w:div>
    <w:div w:id="2141528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oph.graf@nyu.ed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rcin.unel@nyu.ed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chris.holt@nyu.edu" TargetMode="External"/><Relationship Id="rId4" Type="http://schemas.openxmlformats.org/officeDocument/2006/relationships/settings" Target="settings.xml"/><Relationship Id="rId9" Type="http://schemas.openxmlformats.org/officeDocument/2006/relationships/hyperlink" Target="mailto:matthew.lifson@nyu.ed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haas.berkeley.edu/wp-content/uploads/WP298.pdf" TargetMode="External"/><Relationship Id="rId3" Type="http://schemas.openxmlformats.org/officeDocument/2006/relationships/hyperlink" Target="https://www.nerc.com/AboutNERC/Documents/NERC%20FAQs%20AUG13.pdf" TargetMode="External"/><Relationship Id="rId7" Type="http://schemas.openxmlformats.org/officeDocument/2006/relationships/hyperlink" Target="https://www.haas.berkeley.edu/wp-content/uploads/WP278Updated.pdf" TargetMode="External"/><Relationship Id="rId2" Type="http://schemas.openxmlformats.org/officeDocument/2006/relationships/hyperlink" Target="https://policyintegrity.org/files/publications/Toward_Resilience.pdf" TargetMode="External"/><Relationship Id="rId1" Type="http://schemas.openxmlformats.org/officeDocument/2006/relationships/hyperlink" Target="https://policyintegrity.org/files/publications/Resource_Adequacy_in_a_Decarbonized_Future.pdf" TargetMode="External"/><Relationship Id="rId6" Type="http://schemas.openxmlformats.org/officeDocument/2006/relationships/hyperlink" Target="https://www.ercot.com/files/docs/2013/06/19/ercot_valueoflostload_literaturereviewandmacroeconomic.pdf" TargetMode="External"/><Relationship Id="rId5" Type="http://schemas.openxmlformats.org/officeDocument/2006/relationships/hyperlink" Target="https://policyintegrity.org/files/publications/Capacity_Markets_and_Externalities_Report.pdf" TargetMode="External"/><Relationship Id="rId4" Type="http://schemas.openxmlformats.org/officeDocument/2006/relationships/hyperlink" Target="https://www.ercot.com/files/docs/2022/10/31/2022%20Biennial%20ERCOT%20Report%20on%20the%20ORDC%20-%20Final_cor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AC23D-BBC6-4342-89D0-0F863F40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25</Pages>
  <Words>5914</Words>
  <Characters>33714</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Policy Integrity at NYU Law</Company>
  <LinksUpToDate>false</LinksUpToDate>
  <CharactersWithSpaces>39549</CharactersWithSpaces>
  <SharedDoc>false</SharedDoc>
  <HLinks>
    <vt:vector size="72" baseType="variant">
      <vt:variant>
        <vt:i4>3932241</vt:i4>
      </vt:variant>
      <vt:variant>
        <vt:i4>9</vt:i4>
      </vt:variant>
      <vt:variant>
        <vt:i4>0</vt:i4>
      </vt:variant>
      <vt:variant>
        <vt:i4>5</vt:i4>
      </vt:variant>
      <vt:variant>
        <vt:lpwstr>mailto:burcin.unel@nyu.edu</vt:lpwstr>
      </vt:variant>
      <vt:variant>
        <vt:lpwstr/>
      </vt:variant>
      <vt:variant>
        <vt:i4>7798784</vt:i4>
      </vt:variant>
      <vt:variant>
        <vt:i4>6</vt:i4>
      </vt:variant>
      <vt:variant>
        <vt:i4>0</vt:i4>
      </vt:variant>
      <vt:variant>
        <vt:i4>5</vt:i4>
      </vt:variant>
      <vt:variant>
        <vt:lpwstr>mailto:chris.holt@nyu.edu</vt:lpwstr>
      </vt:variant>
      <vt:variant>
        <vt:lpwstr/>
      </vt:variant>
      <vt:variant>
        <vt:i4>7471134</vt:i4>
      </vt:variant>
      <vt:variant>
        <vt:i4>3</vt:i4>
      </vt:variant>
      <vt:variant>
        <vt:i4>0</vt:i4>
      </vt:variant>
      <vt:variant>
        <vt:i4>5</vt:i4>
      </vt:variant>
      <vt:variant>
        <vt:lpwstr>mailto:matthew.lifson@nyu.edu</vt:lpwstr>
      </vt:variant>
      <vt:variant>
        <vt:lpwstr/>
      </vt:variant>
      <vt:variant>
        <vt:i4>7471115</vt:i4>
      </vt:variant>
      <vt:variant>
        <vt:i4>0</vt:i4>
      </vt:variant>
      <vt:variant>
        <vt:i4>0</vt:i4>
      </vt:variant>
      <vt:variant>
        <vt:i4>5</vt:i4>
      </vt:variant>
      <vt:variant>
        <vt:lpwstr>mailto:christoph.graf@nyu.edu</vt:lpwstr>
      </vt:variant>
      <vt:variant>
        <vt:lpwstr/>
      </vt:variant>
      <vt:variant>
        <vt:i4>7995451</vt:i4>
      </vt:variant>
      <vt:variant>
        <vt:i4>81</vt:i4>
      </vt:variant>
      <vt:variant>
        <vt:i4>0</vt:i4>
      </vt:variant>
      <vt:variant>
        <vt:i4>5</vt:i4>
      </vt:variant>
      <vt:variant>
        <vt:lpwstr>https://haas.berkeley.edu/wp-content/uploads/WP298.pdf</vt:lpwstr>
      </vt:variant>
      <vt:variant>
        <vt:lpwstr/>
      </vt:variant>
      <vt:variant>
        <vt:i4>720910</vt:i4>
      </vt:variant>
      <vt:variant>
        <vt:i4>78</vt:i4>
      </vt:variant>
      <vt:variant>
        <vt:i4>0</vt:i4>
      </vt:variant>
      <vt:variant>
        <vt:i4>5</vt:i4>
      </vt:variant>
      <vt:variant>
        <vt:lpwstr>https://www.haas.berkeley.edu/wp-content/uploads/WP278Updated.pdf</vt:lpwstr>
      </vt:variant>
      <vt:variant>
        <vt:lpwstr/>
      </vt:variant>
      <vt:variant>
        <vt:i4>6815854</vt:i4>
      </vt:variant>
      <vt:variant>
        <vt:i4>63</vt:i4>
      </vt:variant>
      <vt:variant>
        <vt:i4>0</vt:i4>
      </vt:variant>
      <vt:variant>
        <vt:i4>5</vt:i4>
      </vt:variant>
      <vt:variant>
        <vt:lpwstr>https://www.ercot.com/files/docs/2013/06/19/ercot_valueoflostload_literaturereviewandmacroeconomic.pdf</vt:lpwstr>
      </vt:variant>
      <vt:variant>
        <vt:lpwstr/>
      </vt:variant>
      <vt:variant>
        <vt:i4>5439553</vt:i4>
      </vt:variant>
      <vt:variant>
        <vt:i4>42</vt:i4>
      </vt:variant>
      <vt:variant>
        <vt:i4>0</vt:i4>
      </vt:variant>
      <vt:variant>
        <vt:i4>5</vt:i4>
      </vt:variant>
      <vt:variant>
        <vt:lpwstr>https://policyintegrity.org/files/publications/Capacity_Markets_and_Externalities_Report.pdf</vt:lpwstr>
      </vt:variant>
      <vt:variant>
        <vt:lpwstr/>
      </vt:variant>
      <vt:variant>
        <vt:i4>6946830</vt:i4>
      </vt:variant>
      <vt:variant>
        <vt:i4>21</vt:i4>
      </vt:variant>
      <vt:variant>
        <vt:i4>0</vt:i4>
      </vt:variant>
      <vt:variant>
        <vt:i4>5</vt:i4>
      </vt:variant>
      <vt:variant>
        <vt:lpwstr>https://www.ercot.com/files/docs/2022/10/31/2022 Biennial ERCOT Report on the ORDC - Final_corr.pdf</vt:lpwstr>
      </vt:variant>
      <vt:variant>
        <vt:lpwstr/>
      </vt:variant>
      <vt:variant>
        <vt:i4>4587533</vt:i4>
      </vt:variant>
      <vt:variant>
        <vt:i4>6</vt:i4>
      </vt:variant>
      <vt:variant>
        <vt:i4>0</vt:i4>
      </vt:variant>
      <vt:variant>
        <vt:i4>5</vt:i4>
      </vt:variant>
      <vt:variant>
        <vt:lpwstr>https://www.nerc.com/AboutNERC/Documents/NERC FAQs AUG13.pdf</vt:lpwstr>
      </vt:variant>
      <vt:variant>
        <vt:lpwstr/>
      </vt:variant>
      <vt:variant>
        <vt:i4>7798877</vt:i4>
      </vt:variant>
      <vt:variant>
        <vt:i4>3</vt:i4>
      </vt:variant>
      <vt:variant>
        <vt:i4>0</vt:i4>
      </vt:variant>
      <vt:variant>
        <vt:i4>5</vt:i4>
      </vt:variant>
      <vt:variant>
        <vt:lpwstr>https://policyintegrity.org/files/publications/Toward_Resilience.pdf</vt:lpwstr>
      </vt:variant>
      <vt:variant>
        <vt:lpwstr/>
      </vt:variant>
      <vt:variant>
        <vt:i4>3211285</vt:i4>
      </vt:variant>
      <vt:variant>
        <vt:i4>0</vt:i4>
      </vt:variant>
      <vt:variant>
        <vt:i4>0</vt:i4>
      </vt:variant>
      <vt:variant>
        <vt:i4>5</vt:i4>
      </vt:variant>
      <vt:variant>
        <vt:lpwstr>https://policyintegrity.org/files/publications/Resource_Adequacy_in_a_Decarbonized_Future.pdf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Unel, Burcin</dc:creator>
  <cp:keywords/>
  <dc:description/>
  <cp:lastModifiedBy>Matthew Lifson</cp:lastModifiedBy>
  <cp:revision>51</cp:revision>
  <cp:lastPrinted>2022-12-15T15:48:00Z</cp:lastPrinted>
  <dcterms:created xsi:type="dcterms:W3CDTF">2022-12-15T14:31:00Z</dcterms:created>
  <dcterms:modified xsi:type="dcterms:W3CDTF">2022-12-15T16:17:00Z</dcterms:modified>
</cp:coreProperties>
</file>